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E80588" w14:textId="7CF7CCCF" w:rsidR="008E732D" w:rsidRPr="00147AF9" w:rsidRDefault="00372AD9" w:rsidP="00372AD9">
      <w:pPr>
        <w:jc w:val="center"/>
        <w:rPr>
          <w:rFonts w:ascii="Times New Roman" w:hAnsi="Times New Roman" w:cs="Times New Roman"/>
          <w:b/>
          <w:bCs/>
          <w:i/>
          <w:iCs/>
        </w:rPr>
      </w:pPr>
      <w:r w:rsidRPr="00372AD9">
        <w:rPr>
          <w:rFonts w:ascii="Times New Roman" w:hAnsi="Times New Roman" w:cs="Times New Roman"/>
          <w:b/>
          <w:bCs/>
        </w:rPr>
        <w:t xml:space="preserve">Supplementary Material for “The effects of oxygen fugacity and </w:t>
      </w:r>
      <w:proofErr w:type="spellStart"/>
      <w:r w:rsidRPr="00372AD9">
        <w:rPr>
          <w:rFonts w:ascii="Times New Roman" w:hAnsi="Times New Roman" w:cs="Times New Roman"/>
          <w:b/>
          <w:bCs/>
        </w:rPr>
        <w:t>sulfur</w:t>
      </w:r>
      <w:proofErr w:type="spellEnd"/>
      <w:r w:rsidRPr="00372AD9">
        <w:rPr>
          <w:rFonts w:ascii="Times New Roman" w:hAnsi="Times New Roman" w:cs="Times New Roman"/>
          <w:b/>
          <w:bCs/>
        </w:rPr>
        <w:t xml:space="preserve"> on the pressure of vapor-saturation of magma” by Hughes </w:t>
      </w:r>
      <w:r w:rsidRPr="00147AF9">
        <w:rPr>
          <w:rFonts w:ascii="Times New Roman" w:hAnsi="Times New Roman" w:cs="Times New Roman"/>
          <w:b/>
          <w:bCs/>
          <w:i/>
          <w:iCs/>
        </w:rPr>
        <w:t>et al.</w:t>
      </w:r>
    </w:p>
    <w:p w14:paraId="49792260" w14:textId="759EED9B" w:rsidR="00112662" w:rsidRDefault="00112662" w:rsidP="00112662">
      <w:pPr>
        <w:rPr>
          <w:rFonts w:ascii="Times New Roman" w:hAnsi="Times New Roman" w:cs="Times New Roman"/>
          <w:b/>
          <w:bCs/>
        </w:rPr>
      </w:pPr>
    </w:p>
    <w:p w14:paraId="6D0E377C" w14:textId="77777777" w:rsidR="00D61BC9" w:rsidRDefault="00D61BC9" w:rsidP="00112662">
      <w:pPr>
        <w:rPr>
          <w:rFonts w:ascii="Times New Roman" w:hAnsi="Times New Roman" w:cs="Times New Roman"/>
          <w:b/>
          <w:bCs/>
        </w:rPr>
      </w:pPr>
    </w:p>
    <w:p w14:paraId="03AE65A5" w14:textId="502DDD39" w:rsidR="00F8392A" w:rsidRPr="00416F60" w:rsidRDefault="00F8392A" w:rsidP="00416F60">
      <w:pPr>
        <w:pStyle w:val="Heading1"/>
      </w:pPr>
      <w:r w:rsidRPr="00416F60">
        <w:t>Terminology</w:t>
      </w:r>
    </w:p>
    <w:tbl>
      <w:tblPr>
        <w:tblStyle w:val="TableGrid"/>
        <w:tblW w:w="0" w:type="auto"/>
        <w:tblLook w:val="04A0" w:firstRow="1" w:lastRow="0" w:firstColumn="1" w:lastColumn="0" w:noHBand="0" w:noVBand="1"/>
      </w:tblPr>
      <w:tblGrid>
        <w:gridCol w:w="7299"/>
        <w:gridCol w:w="1727"/>
      </w:tblGrid>
      <w:tr w:rsidR="00F8392A" w:rsidRPr="00CC0D73" w14:paraId="245A786D" w14:textId="77777777" w:rsidTr="00DE5E35">
        <w:tc>
          <w:tcPr>
            <w:tcW w:w="7299" w:type="dxa"/>
            <w:tcBorders>
              <w:left w:val="nil"/>
              <w:right w:val="nil"/>
            </w:tcBorders>
          </w:tcPr>
          <w:p w14:paraId="547E0ADC" w14:textId="77777777" w:rsidR="00F8392A" w:rsidRPr="00CC0D73" w:rsidRDefault="00F8392A" w:rsidP="00DE5E35">
            <w:pPr>
              <w:jc w:val="center"/>
              <w:rPr>
                <w:rFonts w:ascii="Times New Roman" w:hAnsi="Times New Roman" w:cs="Times New Roman"/>
              </w:rPr>
            </w:pPr>
            <w:r>
              <w:rPr>
                <w:rFonts w:ascii="Times New Roman" w:hAnsi="Times New Roman" w:cs="Times New Roman"/>
              </w:rPr>
              <w:t>Variable/parameter/abbreviation</w:t>
            </w:r>
          </w:p>
        </w:tc>
        <w:tc>
          <w:tcPr>
            <w:tcW w:w="1727" w:type="dxa"/>
            <w:tcBorders>
              <w:left w:val="nil"/>
              <w:right w:val="nil"/>
            </w:tcBorders>
          </w:tcPr>
          <w:p w14:paraId="0273824D" w14:textId="77777777" w:rsidR="00F8392A" w:rsidRPr="00CC0D73" w:rsidRDefault="00F8392A" w:rsidP="00DE5E35">
            <w:pPr>
              <w:jc w:val="center"/>
              <w:rPr>
                <w:rFonts w:ascii="Times New Roman" w:hAnsi="Times New Roman" w:cs="Times New Roman"/>
              </w:rPr>
            </w:pPr>
            <w:r w:rsidRPr="00CC0D73">
              <w:rPr>
                <w:rFonts w:ascii="Times New Roman" w:hAnsi="Times New Roman" w:cs="Times New Roman"/>
              </w:rPr>
              <w:t>Symbol</w:t>
            </w:r>
          </w:p>
        </w:tc>
      </w:tr>
      <w:tr w:rsidR="00F8392A" w:rsidRPr="00CC0D73" w14:paraId="3B9E7814" w14:textId="77777777" w:rsidTr="00DE5E35">
        <w:tc>
          <w:tcPr>
            <w:tcW w:w="7299" w:type="dxa"/>
            <w:tcBorders>
              <w:top w:val="nil"/>
              <w:left w:val="nil"/>
              <w:bottom w:val="nil"/>
              <w:right w:val="nil"/>
            </w:tcBorders>
          </w:tcPr>
          <w:p w14:paraId="7EB7DB38" w14:textId="4980AF89" w:rsidR="00F8392A" w:rsidRDefault="00F8392A" w:rsidP="00DE5E35">
            <w:pPr>
              <w:rPr>
                <w:rFonts w:ascii="Times New Roman" w:hAnsi="Times New Roman" w:cs="Times New Roman"/>
              </w:rPr>
            </w:pPr>
            <w:r>
              <w:rPr>
                <w:rFonts w:ascii="Times New Roman" w:hAnsi="Times New Roman" w:cs="Times New Roman"/>
              </w:rPr>
              <w:t>Vapor</w:t>
            </w:r>
          </w:p>
        </w:tc>
        <w:tc>
          <w:tcPr>
            <w:tcW w:w="1727" w:type="dxa"/>
            <w:tcBorders>
              <w:top w:val="nil"/>
              <w:left w:val="nil"/>
              <w:bottom w:val="nil"/>
              <w:right w:val="nil"/>
            </w:tcBorders>
          </w:tcPr>
          <w:p w14:paraId="6E61DE6A" w14:textId="77777777" w:rsidR="00F8392A" w:rsidRPr="00783884" w:rsidRDefault="00F8392A" w:rsidP="00DE5E35">
            <w:pPr>
              <w:jc w:val="center"/>
              <w:rPr>
                <w:rFonts w:ascii="Times New Roman" w:hAnsi="Times New Roman" w:cs="Times New Roman"/>
                <w:i/>
                <w:iCs/>
              </w:rPr>
            </w:pPr>
            <w:r w:rsidRPr="00783884">
              <w:rPr>
                <w:rFonts w:ascii="Times New Roman" w:hAnsi="Times New Roman" w:cs="Times New Roman"/>
                <w:i/>
                <w:iCs/>
              </w:rPr>
              <w:t>v</w:t>
            </w:r>
          </w:p>
        </w:tc>
      </w:tr>
      <w:tr w:rsidR="00F8392A" w:rsidRPr="00CC0D73" w14:paraId="232EF409" w14:textId="77777777" w:rsidTr="00DE5E35">
        <w:tc>
          <w:tcPr>
            <w:tcW w:w="7299" w:type="dxa"/>
            <w:tcBorders>
              <w:top w:val="nil"/>
              <w:left w:val="nil"/>
              <w:bottom w:val="nil"/>
              <w:right w:val="nil"/>
            </w:tcBorders>
          </w:tcPr>
          <w:p w14:paraId="49715C93" w14:textId="77777777" w:rsidR="00F8392A" w:rsidRDefault="00F8392A" w:rsidP="00DE5E35">
            <w:pPr>
              <w:rPr>
                <w:rFonts w:ascii="Times New Roman" w:hAnsi="Times New Roman" w:cs="Times New Roman"/>
              </w:rPr>
            </w:pPr>
            <w:r>
              <w:rPr>
                <w:rFonts w:ascii="Times New Roman" w:hAnsi="Times New Roman" w:cs="Times New Roman"/>
              </w:rPr>
              <w:t>Melt</w:t>
            </w:r>
          </w:p>
        </w:tc>
        <w:tc>
          <w:tcPr>
            <w:tcW w:w="1727" w:type="dxa"/>
            <w:tcBorders>
              <w:top w:val="nil"/>
              <w:left w:val="nil"/>
              <w:bottom w:val="nil"/>
              <w:right w:val="nil"/>
            </w:tcBorders>
          </w:tcPr>
          <w:p w14:paraId="1CF94DEB" w14:textId="77777777" w:rsidR="00F8392A" w:rsidRPr="00783884" w:rsidRDefault="00F8392A" w:rsidP="00DE5E35">
            <w:pPr>
              <w:jc w:val="center"/>
              <w:rPr>
                <w:rFonts w:ascii="Times New Roman" w:hAnsi="Times New Roman" w:cs="Times New Roman"/>
                <w:i/>
                <w:iCs/>
              </w:rPr>
            </w:pPr>
            <w:r w:rsidRPr="00783884">
              <w:rPr>
                <w:rFonts w:ascii="Times New Roman" w:hAnsi="Times New Roman" w:cs="Times New Roman"/>
                <w:i/>
                <w:iCs/>
              </w:rPr>
              <w:t>m</w:t>
            </w:r>
          </w:p>
        </w:tc>
      </w:tr>
      <w:tr w:rsidR="00F8392A" w:rsidRPr="00CC0D73" w14:paraId="75841D59" w14:textId="77777777" w:rsidTr="00DE5E35">
        <w:tc>
          <w:tcPr>
            <w:tcW w:w="7299" w:type="dxa"/>
            <w:tcBorders>
              <w:top w:val="nil"/>
              <w:left w:val="nil"/>
              <w:bottom w:val="nil"/>
              <w:right w:val="nil"/>
            </w:tcBorders>
          </w:tcPr>
          <w:p w14:paraId="4B9D235F" w14:textId="77777777" w:rsidR="00F8392A" w:rsidRPr="00CC0D73" w:rsidRDefault="00F8392A" w:rsidP="00DE5E35">
            <w:pPr>
              <w:rPr>
                <w:rFonts w:ascii="Times New Roman" w:hAnsi="Times New Roman" w:cs="Times New Roman"/>
              </w:rPr>
            </w:pPr>
            <w:r w:rsidRPr="00CC0D73">
              <w:rPr>
                <w:rFonts w:ascii="Times New Roman" w:hAnsi="Times New Roman" w:cs="Times New Roman"/>
              </w:rPr>
              <w:t>Temperature</w:t>
            </w:r>
          </w:p>
        </w:tc>
        <w:tc>
          <w:tcPr>
            <w:tcW w:w="1727" w:type="dxa"/>
            <w:tcBorders>
              <w:top w:val="nil"/>
              <w:left w:val="nil"/>
              <w:bottom w:val="nil"/>
              <w:right w:val="nil"/>
            </w:tcBorders>
          </w:tcPr>
          <w:p w14:paraId="6662C09C" w14:textId="77777777" w:rsidR="00F8392A" w:rsidRPr="00CC0D73" w:rsidRDefault="00F8392A" w:rsidP="00DE5E35">
            <w:pPr>
              <w:jc w:val="center"/>
              <w:rPr>
                <w:rFonts w:ascii="Times New Roman" w:hAnsi="Times New Roman" w:cs="Times New Roman"/>
              </w:rPr>
            </w:pPr>
            <w:r w:rsidRPr="00CC0D73">
              <w:rPr>
                <w:rFonts w:ascii="Times New Roman" w:hAnsi="Times New Roman" w:cs="Times New Roman"/>
                <w:i/>
                <w:iCs/>
              </w:rPr>
              <w:t>T</w:t>
            </w:r>
          </w:p>
        </w:tc>
      </w:tr>
      <w:tr w:rsidR="00F8392A" w:rsidRPr="00CC0D73" w14:paraId="59110651" w14:textId="77777777" w:rsidTr="00DE5E35">
        <w:tc>
          <w:tcPr>
            <w:tcW w:w="7299" w:type="dxa"/>
            <w:tcBorders>
              <w:top w:val="nil"/>
              <w:left w:val="nil"/>
              <w:bottom w:val="nil"/>
              <w:right w:val="nil"/>
            </w:tcBorders>
          </w:tcPr>
          <w:p w14:paraId="6866E91F" w14:textId="77777777" w:rsidR="00F8392A" w:rsidRPr="00CC0D73" w:rsidRDefault="00F8392A" w:rsidP="00DE5E35">
            <w:pPr>
              <w:rPr>
                <w:rFonts w:ascii="Times New Roman" w:hAnsi="Times New Roman" w:cs="Times New Roman"/>
              </w:rPr>
            </w:pPr>
            <w:r w:rsidRPr="00CC0D73">
              <w:rPr>
                <w:rFonts w:ascii="Times New Roman" w:hAnsi="Times New Roman" w:cs="Times New Roman"/>
              </w:rPr>
              <w:t>Pressure</w:t>
            </w:r>
          </w:p>
        </w:tc>
        <w:tc>
          <w:tcPr>
            <w:tcW w:w="1727" w:type="dxa"/>
            <w:tcBorders>
              <w:top w:val="nil"/>
              <w:left w:val="nil"/>
              <w:bottom w:val="nil"/>
              <w:right w:val="nil"/>
            </w:tcBorders>
          </w:tcPr>
          <w:p w14:paraId="4F0A4BF6" w14:textId="77777777" w:rsidR="00F8392A" w:rsidRPr="00CC0D73" w:rsidRDefault="00F8392A" w:rsidP="00DE5E35">
            <w:pPr>
              <w:jc w:val="center"/>
              <w:rPr>
                <w:rFonts w:ascii="Times New Roman" w:hAnsi="Times New Roman" w:cs="Times New Roman"/>
              </w:rPr>
            </w:pPr>
            <w:r w:rsidRPr="00CC0D73">
              <w:rPr>
                <w:rFonts w:ascii="Times New Roman" w:hAnsi="Times New Roman" w:cs="Times New Roman"/>
                <w:i/>
                <w:iCs/>
              </w:rPr>
              <w:t>P</w:t>
            </w:r>
          </w:p>
        </w:tc>
      </w:tr>
      <w:tr w:rsidR="00F8392A" w:rsidRPr="00CC0D73" w14:paraId="02A1CE3C" w14:textId="77777777" w:rsidTr="00DE5E35">
        <w:tc>
          <w:tcPr>
            <w:tcW w:w="7299" w:type="dxa"/>
            <w:tcBorders>
              <w:top w:val="nil"/>
              <w:left w:val="nil"/>
              <w:bottom w:val="nil"/>
              <w:right w:val="nil"/>
            </w:tcBorders>
          </w:tcPr>
          <w:p w14:paraId="7D2C251E" w14:textId="68DAF8A7" w:rsidR="00F8392A" w:rsidRPr="00CC0D73" w:rsidRDefault="00F8392A" w:rsidP="00DE5E35">
            <w:pPr>
              <w:rPr>
                <w:rFonts w:ascii="Times New Roman" w:hAnsi="Times New Roman" w:cs="Times New Roman"/>
              </w:rPr>
            </w:pPr>
            <w:r w:rsidRPr="00CC0D73">
              <w:rPr>
                <w:rFonts w:ascii="Times New Roman" w:hAnsi="Times New Roman" w:cs="Times New Roman"/>
              </w:rPr>
              <w:t xml:space="preserve">Pressure of </w:t>
            </w:r>
            <w:r>
              <w:rPr>
                <w:rFonts w:ascii="Times New Roman" w:hAnsi="Times New Roman" w:cs="Times New Roman"/>
              </w:rPr>
              <w:t>vapor</w:t>
            </w:r>
            <w:r w:rsidRPr="00CC0D73">
              <w:rPr>
                <w:rFonts w:ascii="Times New Roman" w:hAnsi="Times New Roman" w:cs="Times New Roman"/>
              </w:rPr>
              <w:t>-saturation</w:t>
            </w:r>
          </w:p>
        </w:tc>
        <w:tc>
          <w:tcPr>
            <w:tcW w:w="1727" w:type="dxa"/>
            <w:tcBorders>
              <w:top w:val="nil"/>
              <w:left w:val="nil"/>
              <w:bottom w:val="nil"/>
              <w:right w:val="nil"/>
            </w:tcBorders>
          </w:tcPr>
          <w:p w14:paraId="2198EBFB" w14:textId="643E4D28" w:rsidR="00F8392A" w:rsidRPr="00CC0D73" w:rsidRDefault="00063B50" w:rsidP="00DE5E35">
            <w:pPr>
              <w:jc w:val="center"/>
              <w:rPr>
                <w:rFonts w:ascii="Times New Roman" w:hAnsi="Times New Roman" w:cs="Times New Roman"/>
              </w:rPr>
            </w:pPr>
            <m:oMath>
              <m:sSubSup>
                <m:sSubSupPr>
                  <m:ctrlPr>
                    <w:rPr>
                      <w:rFonts w:ascii="Cambria Math" w:hAnsi="Cambria Math" w:cs="Times New Roman"/>
                      <w:i/>
                      <w:iCs/>
                    </w:rPr>
                  </m:ctrlPr>
                </m:sSubSupPr>
                <m:e>
                  <m:r>
                    <w:rPr>
                      <w:rFonts w:ascii="Cambria Math" w:hAnsi="Cambria Math" w:cs="Times New Roman"/>
                    </w:rPr>
                    <m:t>P</m:t>
                  </m:r>
                </m:e>
                <m:sub>
                  <m:r>
                    <m:rPr>
                      <m:sty m:val="p"/>
                    </m:rPr>
                    <w:rPr>
                      <w:rFonts w:ascii="Cambria Math" w:hAnsi="Cambria Math" w:cs="Times New Roman"/>
                    </w:rPr>
                    <m:t>sat</m:t>
                  </m:r>
                </m:sub>
                <m:sup>
                  <m:r>
                    <w:rPr>
                      <w:rFonts w:ascii="Cambria Math" w:hAnsi="Cambria Math" w:cs="Times New Roman"/>
                    </w:rPr>
                    <m:t>v</m:t>
                  </m:r>
                </m:sup>
              </m:sSubSup>
            </m:oMath>
            <w:r w:rsidR="00C973DE">
              <w:rPr>
                <w:rFonts w:ascii="Times New Roman" w:eastAsiaTheme="minorEastAsia" w:hAnsi="Times New Roman" w:cs="Times New Roman"/>
                <w:iCs/>
              </w:rPr>
              <w:t xml:space="preserve"> | </w:t>
            </w:r>
            <w:proofErr w:type="spellStart"/>
            <w:r w:rsidR="00C973DE" w:rsidRPr="00C973DE">
              <w:rPr>
                <w:rFonts w:ascii="Times New Roman" w:eastAsiaTheme="minorEastAsia" w:hAnsi="Times New Roman" w:cs="Times New Roman"/>
                <w:i/>
              </w:rPr>
              <w:t>P</w:t>
            </w:r>
            <w:r w:rsidR="00C973DE" w:rsidRPr="00C973DE">
              <w:rPr>
                <w:rFonts w:ascii="Times New Roman" w:eastAsiaTheme="minorEastAsia" w:hAnsi="Times New Roman" w:cs="Times New Roman"/>
                <w:i/>
                <w:vertAlign w:val="superscript"/>
              </w:rPr>
              <w:t>v</w:t>
            </w:r>
            <w:r w:rsidR="00C973DE" w:rsidRPr="00C973DE">
              <w:rPr>
                <w:rFonts w:ascii="Times New Roman" w:eastAsiaTheme="minorEastAsia" w:hAnsi="Times New Roman" w:cs="Times New Roman"/>
                <w:iCs/>
                <w:vertAlign w:val="subscript"/>
              </w:rPr>
              <w:t>sat</w:t>
            </w:r>
            <w:proofErr w:type="spellEnd"/>
          </w:p>
        </w:tc>
      </w:tr>
      <w:tr w:rsidR="00F8392A" w:rsidRPr="00CC0D73" w14:paraId="2A7C9BA2" w14:textId="77777777" w:rsidTr="00DE5E35">
        <w:tc>
          <w:tcPr>
            <w:tcW w:w="7299" w:type="dxa"/>
            <w:tcBorders>
              <w:top w:val="nil"/>
              <w:left w:val="nil"/>
              <w:bottom w:val="nil"/>
              <w:right w:val="nil"/>
            </w:tcBorders>
          </w:tcPr>
          <w:p w14:paraId="1471834E" w14:textId="77777777" w:rsidR="00F8392A" w:rsidRPr="00CC0D73" w:rsidRDefault="00F8392A" w:rsidP="00DE5E35">
            <w:pPr>
              <w:rPr>
                <w:rFonts w:ascii="Times New Roman" w:hAnsi="Times New Roman" w:cs="Times New Roman"/>
              </w:rPr>
            </w:pPr>
            <w:r w:rsidRPr="00CC0D73">
              <w:rPr>
                <w:rFonts w:ascii="Times New Roman" w:hAnsi="Times New Roman" w:cs="Times New Roman"/>
              </w:rPr>
              <w:t xml:space="preserve">Partial pressure of species </w:t>
            </w:r>
            <w:proofErr w:type="spellStart"/>
            <w:r w:rsidRPr="00CC0D73">
              <w:rPr>
                <w:rFonts w:ascii="Times New Roman" w:hAnsi="Times New Roman" w:cs="Times New Roman"/>
                <w:i/>
                <w:iCs/>
              </w:rPr>
              <w:t>i</w:t>
            </w:r>
            <w:proofErr w:type="spellEnd"/>
          </w:p>
        </w:tc>
        <w:tc>
          <w:tcPr>
            <w:tcW w:w="1727" w:type="dxa"/>
            <w:tcBorders>
              <w:top w:val="nil"/>
              <w:left w:val="nil"/>
              <w:bottom w:val="nil"/>
              <w:right w:val="nil"/>
            </w:tcBorders>
          </w:tcPr>
          <w:p w14:paraId="61C700F5" w14:textId="77777777" w:rsidR="00F8392A" w:rsidRPr="00CC0D73" w:rsidRDefault="00F8392A" w:rsidP="00DE5E35">
            <w:pPr>
              <w:jc w:val="center"/>
              <w:rPr>
                <w:rFonts w:ascii="Times New Roman" w:hAnsi="Times New Roman" w:cs="Times New Roman"/>
              </w:rPr>
            </w:pPr>
            <w:r w:rsidRPr="00CC0D73">
              <w:rPr>
                <w:rFonts w:ascii="Times New Roman" w:hAnsi="Times New Roman" w:cs="Times New Roman"/>
                <w:i/>
                <w:iCs/>
              </w:rPr>
              <w:t>p</w:t>
            </w:r>
            <w:r w:rsidRPr="00093F50">
              <w:rPr>
                <w:rFonts w:ascii="Times New Roman" w:hAnsi="Times New Roman" w:cs="Times New Roman"/>
                <w:i/>
                <w:iCs/>
                <w:vertAlign w:val="subscript"/>
              </w:rPr>
              <w:t>i</w:t>
            </w:r>
          </w:p>
        </w:tc>
      </w:tr>
      <w:tr w:rsidR="00F8392A" w:rsidRPr="00CC0D73" w14:paraId="58B9ED04" w14:textId="77777777" w:rsidTr="00DE5E35">
        <w:tc>
          <w:tcPr>
            <w:tcW w:w="7299" w:type="dxa"/>
            <w:tcBorders>
              <w:top w:val="nil"/>
              <w:left w:val="nil"/>
              <w:bottom w:val="nil"/>
              <w:right w:val="nil"/>
            </w:tcBorders>
          </w:tcPr>
          <w:p w14:paraId="096B6D85" w14:textId="77777777" w:rsidR="00F8392A" w:rsidRPr="00CC0D73" w:rsidRDefault="00F8392A" w:rsidP="00DE5E35">
            <w:pPr>
              <w:rPr>
                <w:rFonts w:ascii="Times New Roman" w:hAnsi="Times New Roman" w:cs="Times New Roman"/>
              </w:rPr>
            </w:pPr>
            <w:r w:rsidRPr="00CC0D73">
              <w:rPr>
                <w:rFonts w:ascii="Times New Roman" w:hAnsi="Times New Roman" w:cs="Times New Roman"/>
              </w:rPr>
              <w:t xml:space="preserve">Fugacity of species </w:t>
            </w:r>
            <w:proofErr w:type="spellStart"/>
            <w:r w:rsidRPr="00CC0D73">
              <w:rPr>
                <w:rFonts w:ascii="Times New Roman" w:hAnsi="Times New Roman" w:cs="Times New Roman"/>
                <w:i/>
                <w:iCs/>
              </w:rPr>
              <w:t>i</w:t>
            </w:r>
            <w:proofErr w:type="spellEnd"/>
          </w:p>
        </w:tc>
        <w:tc>
          <w:tcPr>
            <w:tcW w:w="1727" w:type="dxa"/>
            <w:tcBorders>
              <w:top w:val="nil"/>
              <w:left w:val="nil"/>
              <w:bottom w:val="nil"/>
              <w:right w:val="nil"/>
            </w:tcBorders>
          </w:tcPr>
          <w:p w14:paraId="79554EB8" w14:textId="77777777" w:rsidR="00F8392A" w:rsidRPr="00CC0D73" w:rsidRDefault="00F8392A" w:rsidP="00DE5E35">
            <w:pPr>
              <w:jc w:val="center"/>
              <w:rPr>
                <w:rFonts w:ascii="Times New Roman" w:hAnsi="Times New Roman" w:cs="Times New Roman"/>
              </w:rPr>
            </w:pPr>
            <w:r w:rsidRPr="00CC0D73">
              <w:rPr>
                <w:rFonts w:ascii="Times New Roman" w:hAnsi="Times New Roman" w:cs="Times New Roman"/>
                <w:i/>
                <w:iCs/>
              </w:rPr>
              <w:t>f</w:t>
            </w:r>
            <w:r w:rsidRPr="00093F50">
              <w:rPr>
                <w:rFonts w:ascii="Times New Roman" w:hAnsi="Times New Roman" w:cs="Times New Roman"/>
                <w:i/>
                <w:iCs/>
                <w:vertAlign w:val="subscript"/>
              </w:rPr>
              <w:t>i</w:t>
            </w:r>
          </w:p>
        </w:tc>
      </w:tr>
      <w:tr w:rsidR="00F8392A" w:rsidRPr="00CC0D73" w14:paraId="2390C3BC" w14:textId="77777777" w:rsidTr="00DE5E35">
        <w:tc>
          <w:tcPr>
            <w:tcW w:w="7299" w:type="dxa"/>
            <w:tcBorders>
              <w:top w:val="nil"/>
              <w:left w:val="nil"/>
              <w:bottom w:val="nil"/>
              <w:right w:val="nil"/>
            </w:tcBorders>
          </w:tcPr>
          <w:p w14:paraId="6FC69C2D" w14:textId="33820F5C" w:rsidR="00F8392A" w:rsidRPr="00CC0D73" w:rsidRDefault="00F8392A" w:rsidP="00DE5E35">
            <w:pPr>
              <w:rPr>
                <w:rFonts w:ascii="Times New Roman" w:hAnsi="Times New Roman" w:cs="Times New Roman"/>
              </w:rPr>
            </w:pPr>
            <w:r w:rsidRPr="00CC0D73">
              <w:rPr>
                <w:rFonts w:ascii="Times New Roman" w:hAnsi="Times New Roman" w:cs="Times New Roman"/>
              </w:rPr>
              <w:t xml:space="preserve">Activity of species </w:t>
            </w:r>
            <w:proofErr w:type="spellStart"/>
            <w:r w:rsidR="009D56B3">
              <w:rPr>
                <w:rFonts w:ascii="Times New Roman" w:hAnsi="Times New Roman" w:cs="Times New Roman"/>
                <w:i/>
                <w:iCs/>
              </w:rPr>
              <w:t>i</w:t>
            </w:r>
            <w:proofErr w:type="spellEnd"/>
            <w:r w:rsidRPr="00CC0D73">
              <w:rPr>
                <w:rFonts w:ascii="Times New Roman" w:hAnsi="Times New Roman" w:cs="Times New Roman"/>
              </w:rPr>
              <w:t xml:space="preserve"> in phase </w:t>
            </w:r>
            <w:r w:rsidRPr="00CC0D73">
              <w:rPr>
                <w:rFonts w:ascii="Times New Roman" w:hAnsi="Times New Roman" w:cs="Times New Roman"/>
                <w:i/>
                <w:iCs/>
              </w:rPr>
              <w:t>j</w:t>
            </w:r>
          </w:p>
        </w:tc>
        <w:tc>
          <w:tcPr>
            <w:tcW w:w="1727" w:type="dxa"/>
            <w:tcBorders>
              <w:top w:val="nil"/>
              <w:left w:val="nil"/>
              <w:bottom w:val="nil"/>
              <w:right w:val="nil"/>
            </w:tcBorders>
          </w:tcPr>
          <w:p w14:paraId="31624F81" w14:textId="6E733848" w:rsidR="00F8392A" w:rsidRPr="00C973DE" w:rsidRDefault="00063B50" w:rsidP="00DE5E35">
            <w:pPr>
              <w:jc w:val="center"/>
              <w:rPr>
                <w:rFonts w:ascii="Times New Roman" w:hAnsi="Times New Roman" w:cs="Times New Roman"/>
              </w:rPr>
            </w:pPr>
            <m:oMath>
              <m:sSubSup>
                <m:sSubSupPr>
                  <m:ctrlPr>
                    <w:rPr>
                      <w:rFonts w:ascii="Cambria Math" w:hAnsi="Cambria Math" w:cs="Times New Roman"/>
                      <w:i/>
                      <w:iCs/>
                    </w:rPr>
                  </m:ctrlPr>
                </m:sSubSupPr>
                <m:e>
                  <m:r>
                    <w:rPr>
                      <w:rFonts w:ascii="Cambria Math" w:hAnsi="Cambria Math" w:cs="Times New Roman"/>
                    </w:rPr>
                    <m:t>a</m:t>
                  </m:r>
                </m:e>
                <m:sub>
                  <m:r>
                    <w:rPr>
                      <w:rFonts w:ascii="Cambria Math" w:hAnsi="Cambria Math" w:cs="Times New Roman"/>
                    </w:rPr>
                    <m:t>i</m:t>
                  </m:r>
                </m:sub>
                <m:sup>
                  <m:r>
                    <w:rPr>
                      <w:rFonts w:ascii="Cambria Math" w:hAnsi="Cambria Math" w:cs="Times New Roman"/>
                    </w:rPr>
                    <m:t>j</m:t>
                  </m:r>
                </m:sup>
              </m:sSubSup>
            </m:oMath>
            <w:r w:rsidR="00C973DE">
              <w:rPr>
                <w:rFonts w:ascii="Times New Roman" w:eastAsiaTheme="minorEastAsia" w:hAnsi="Times New Roman" w:cs="Times New Roman"/>
              </w:rPr>
              <w:t xml:space="preserve"> | </w:t>
            </w:r>
            <w:proofErr w:type="spellStart"/>
            <w:r w:rsidR="00C973DE" w:rsidRPr="00C973DE">
              <w:rPr>
                <w:rFonts w:ascii="Times New Roman" w:eastAsiaTheme="minorEastAsia" w:hAnsi="Times New Roman" w:cs="Times New Roman"/>
                <w:i/>
                <w:iCs/>
              </w:rPr>
              <w:t>a</w:t>
            </w:r>
            <w:r w:rsidR="00EC0637" w:rsidRPr="00EC0637">
              <w:rPr>
                <w:rFonts w:ascii="Times New Roman" w:eastAsiaTheme="minorEastAsia" w:hAnsi="Times New Roman" w:cs="Times New Roman"/>
                <w:i/>
                <w:iCs/>
                <w:vertAlign w:val="superscript"/>
              </w:rPr>
              <w:t>i</w:t>
            </w:r>
            <w:r w:rsidR="00EC0637" w:rsidRPr="00EC0637">
              <w:rPr>
                <w:rFonts w:ascii="Times New Roman" w:eastAsiaTheme="minorEastAsia" w:hAnsi="Times New Roman" w:cs="Times New Roman"/>
                <w:i/>
                <w:iCs/>
                <w:vertAlign w:val="subscript"/>
              </w:rPr>
              <w:t>j</w:t>
            </w:r>
            <w:proofErr w:type="spellEnd"/>
          </w:p>
        </w:tc>
      </w:tr>
      <w:tr w:rsidR="00F8392A" w:rsidRPr="00CC0D73" w14:paraId="0874F303" w14:textId="77777777" w:rsidTr="00DE5E35">
        <w:tc>
          <w:tcPr>
            <w:tcW w:w="7299" w:type="dxa"/>
            <w:tcBorders>
              <w:top w:val="nil"/>
              <w:left w:val="nil"/>
              <w:bottom w:val="nil"/>
              <w:right w:val="nil"/>
            </w:tcBorders>
          </w:tcPr>
          <w:p w14:paraId="03B1BBCC" w14:textId="77777777" w:rsidR="00F8392A" w:rsidRPr="00CC0D73" w:rsidRDefault="00F8392A" w:rsidP="00DE5E35">
            <w:pPr>
              <w:rPr>
                <w:rFonts w:ascii="Times New Roman" w:hAnsi="Times New Roman" w:cs="Times New Roman"/>
              </w:rPr>
            </w:pPr>
            <w:r w:rsidRPr="00CC0D73">
              <w:rPr>
                <w:rFonts w:ascii="Times New Roman" w:hAnsi="Times New Roman" w:cs="Times New Roman"/>
              </w:rPr>
              <w:t xml:space="preserve">Mole fraction of species </w:t>
            </w:r>
            <w:proofErr w:type="spellStart"/>
            <w:r w:rsidRPr="00CC0D73">
              <w:rPr>
                <w:rFonts w:ascii="Times New Roman" w:hAnsi="Times New Roman" w:cs="Times New Roman"/>
                <w:i/>
                <w:iCs/>
              </w:rPr>
              <w:t>i</w:t>
            </w:r>
            <w:proofErr w:type="spellEnd"/>
            <w:r w:rsidRPr="00CC0D73">
              <w:rPr>
                <w:rFonts w:ascii="Times New Roman" w:hAnsi="Times New Roman" w:cs="Times New Roman"/>
              </w:rPr>
              <w:t xml:space="preserve"> in phase </w:t>
            </w:r>
            <w:r w:rsidRPr="00CC0D73">
              <w:rPr>
                <w:rFonts w:ascii="Times New Roman" w:hAnsi="Times New Roman" w:cs="Times New Roman"/>
                <w:i/>
                <w:iCs/>
              </w:rPr>
              <w:t>j</w:t>
            </w:r>
          </w:p>
        </w:tc>
        <w:tc>
          <w:tcPr>
            <w:tcW w:w="1727" w:type="dxa"/>
            <w:tcBorders>
              <w:top w:val="nil"/>
              <w:left w:val="nil"/>
              <w:bottom w:val="nil"/>
              <w:right w:val="nil"/>
            </w:tcBorders>
          </w:tcPr>
          <w:p w14:paraId="547E32F0" w14:textId="1DE2EC06" w:rsidR="00F8392A" w:rsidRPr="00CC0D73" w:rsidRDefault="00063B50" w:rsidP="00DE5E35">
            <w:pPr>
              <w:jc w:val="center"/>
              <w:rPr>
                <w:rFonts w:ascii="Times New Roman" w:hAnsi="Times New Roman" w:cs="Times New Roman"/>
                <w:i/>
                <w:iCs/>
              </w:rPr>
            </w:pPr>
            <m:oMath>
              <m:sSubSup>
                <m:sSubSupPr>
                  <m:ctrlPr>
                    <w:rPr>
                      <w:rFonts w:ascii="Cambria Math" w:hAnsi="Cambria Math" w:cs="Times New Roman"/>
                      <w:i/>
                      <w:iCs/>
                    </w:rPr>
                  </m:ctrlPr>
                </m:sSubSupPr>
                <m:e>
                  <m:r>
                    <w:rPr>
                      <w:rFonts w:ascii="Cambria Math" w:hAnsi="Cambria Math" w:cs="Times New Roman"/>
                    </w:rPr>
                    <m:t>x</m:t>
                  </m:r>
                </m:e>
                <m:sub>
                  <m:r>
                    <w:rPr>
                      <w:rFonts w:ascii="Cambria Math" w:hAnsi="Cambria Math" w:cs="Times New Roman"/>
                    </w:rPr>
                    <m:t>i</m:t>
                  </m:r>
                </m:sub>
                <m:sup>
                  <m:r>
                    <w:rPr>
                      <w:rFonts w:ascii="Cambria Math" w:hAnsi="Cambria Math" w:cs="Times New Roman"/>
                    </w:rPr>
                    <m:t>j</m:t>
                  </m:r>
                </m:sup>
              </m:sSubSup>
            </m:oMath>
            <w:r w:rsidR="00C973DE">
              <w:rPr>
                <w:rFonts w:ascii="Times New Roman" w:eastAsiaTheme="minorEastAsia" w:hAnsi="Times New Roman" w:cs="Times New Roman"/>
              </w:rPr>
              <w:t xml:space="preserve"> | </w:t>
            </w:r>
            <w:proofErr w:type="spellStart"/>
            <w:r w:rsidR="00C973DE">
              <w:rPr>
                <w:rFonts w:ascii="Times New Roman" w:eastAsiaTheme="minorEastAsia" w:hAnsi="Times New Roman" w:cs="Times New Roman"/>
                <w:i/>
                <w:iCs/>
              </w:rPr>
              <w:t>x</w:t>
            </w:r>
            <w:r w:rsidR="00EC0637" w:rsidRPr="00EC0637">
              <w:rPr>
                <w:rFonts w:ascii="Times New Roman" w:eastAsiaTheme="minorEastAsia" w:hAnsi="Times New Roman" w:cs="Times New Roman"/>
                <w:i/>
                <w:iCs/>
                <w:vertAlign w:val="superscript"/>
              </w:rPr>
              <w:t>i</w:t>
            </w:r>
            <w:r w:rsidR="00EC0637" w:rsidRPr="00EC0637">
              <w:rPr>
                <w:rFonts w:ascii="Times New Roman" w:eastAsiaTheme="minorEastAsia" w:hAnsi="Times New Roman" w:cs="Times New Roman"/>
                <w:i/>
                <w:iCs/>
                <w:vertAlign w:val="subscript"/>
              </w:rPr>
              <w:t>j</w:t>
            </w:r>
            <w:proofErr w:type="spellEnd"/>
          </w:p>
        </w:tc>
      </w:tr>
      <w:tr w:rsidR="00F8392A" w:rsidRPr="00CC0D73" w14:paraId="3E73150B" w14:textId="77777777" w:rsidTr="00DE5E35">
        <w:tc>
          <w:tcPr>
            <w:tcW w:w="7299" w:type="dxa"/>
            <w:tcBorders>
              <w:top w:val="nil"/>
              <w:left w:val="nil"/>
              <w:bottom w:val="nil"/>
              <w:right w:val="nil"/>
            </w:tcBorders>
          </w:tcPr>
          <w:p w14:paraId="099B7B0E" w14:textId="77777777" w:rsidR="00F8392A" w:rsidRPr="00CC0D73" w:rsidRDefault="00F8392A" w:rsidP="00DE5E35">
            <w:pPr>
              <w:rPr>
                <w:rFonts w:ascii="Times New Roman" w:hAnsi="Times New Roman" w:cs="Times New Roman"/>
                <w:i/>
                <w:iCs/>
              </w:rPr>
            </w:pPr>
            <w:r w:rsidRPr="00CC0D73">
              <w:rPr>
                <w:rFonts w:ascii="Times New Roman" w:hAnsi="Times New Roman" w:cs="Times New Roman"/>
              </w:rPr>
              <w:t xml:space="preserve">Weight fraction of species </w:t>
            </w:r>
            <w:proofErr w:type="spellStart"/>
            <w:r w:rsidRPr="00CC0D73">
              <w:rPr>
                <w:rFonts w:ascii="Times New Roman" w:hAnsi="Times New Roman" w:cs="Times New Roman"/>
                <w:i/>
                <w:iCs/>
              </w:rPr>
              <w:t>i</w:t>
            </w:r>
            <w:proofErr w:type="spellEnd"/>
            <w:r w:rsidRPr="00CC0D73">
              <w:rPr>
                <w:rFonts w:ascii="Times New Roman" w:hAnsi="Times New Roman" w:cs="Times New Roman"/>
              </w:rPr>
              <w:t xml:space="preserve"> in phase </w:t>
            </w:r>
            <w:r w:rsidRPr="00CC0D73">
              <w:rPr>
                <w:rFonts w:ascii="Times New Roman" w:hAnsi="Times New Roman" w:cs="Times New Roman"/>
                <w:i/>
                <w:iCs/>
              </w:rPr>
              <w:t>j</w:t>
            </w:r>
          </w:p>
        </w:tc>
        <w:tc>
          <w:tcPr>
            <w:tcW w:w="1727" w:type="dxa"/>
            <w:tcBorders>
              <w:top w:val="nil"/>
              <w:left w:val="nil"/>
              <w:bottom w:val="nil"/>
              <w:right w:val="nil"/>
            </w:tcBorders>
          </w:tcPr>
          <w:p w14:paraId="2CCC8E12" w14:textId="0AFB7C97" w:rsidR="00F8392A" w:rsidRPr="00CC0D73" w:rsidRDefault="00063B50" w:rsidP="00DE5E35">
            <w:pPr>
              <w:jc w:val="center"/>
              <w:rPr>
                <w:rFonts w:ascii="Times New Roman" w:hAnsi="Times New Roman" w:cs="Times New Roman"/>
                <w:vertAlign w:val="superscript"/>
              </w:rPr>
            </w:pPr>
            <m:oMath>
              <m:sSubSup>
                <m:sSubSupPr>
                  <m:ctrlPr>
                    <w:rPr>
                      <w:rFonts w:ascii="Cambria Math" w:hAnsi="Cambria Math" w:cs="Times New Roman"/>
                      <w:i/>
                      <w:iCs/>
                    </w:rPr>
                  </m:ctrlPr>
                </m:sSubSupPr>
                <m:e>
                  <m:r>
                    <w:rPr>
                      <w:rFonts w:ascii="Cambria Math" w:hAnsi="Cambria Math" w:cs="Times New Roman"/>
                    </w:rPr>
                    <m:t>w</m:t>
                  </m:r>
                </m:e>
                <m:sub>
                  <m:r>
                    <w:rPr>
                      <w:rFonts w:ascii="Cambria Math" w:hAnsi="Cambria Math" w:cs="Times New Roman"/>
                    </w:rPr>
                    <m:t>i</m:t>
                  </m:r>
                </m:sub>
                <m:sup>
                  <m:r>
                    <w:rPr>
                      <w:rFonts w:ascii="Cambria Math" w:hAnsi="Cambria Math" w:cs="Times New Roman"/>
                    </w:rPr>
                    <m:t>j</m:t>
                  </m:r>
                </m:sup>
              </m:sSubSup>
            </m:oMath>
            <w:r w:rsidR="00C973DE">
              <w:rPr>
                <w:rFonts w:ascii="Times New Roman" w:eastAsiaTheme="minorEastAsia" w:hAnsi="Times New Roman" w:cs="Times New Roman"/>
              </w:rPr>
              <w:t xml:space="preserve"> | </w:t>
            </w:r>
            <w:proofErr w:type="spellStart"/>
            <w:r w:rsidR="00C973DE">
              <w:rPr>
                <w:rFonts w:ascii="Times New Roman" w:eastAsiaTheme="minorEastAsia" w:hAnsi="Times New Roman" w:cs="Times New Roman"/>
                <w:i/>
                <w:iCs/>
              </w:rPr>
              <w:t>w</w:t>
            </w:r>
            <w:r w:rsidR="00EC0637" w:rsidRPr="00EC0637">
              <w:rPr>
                <w:rFonts w:ascii="Times New Roman" w:eastAsiaTheme="minorEastAsia" w:hAnsi="Times New Roman" w:cs="Times New Roman"/>
                <w:i/>
                <w:iCs/>
                <w:vertAlign w:val="superscript"/>
              </w:rPr>
              <w:t>i</w:t>
            </w:r>
            <w:r w:rsidR="00EC0637" w:rsidRPr="00EC0637">
              <w:rPr>
                <w:rFonts w:ascii="Times New Roman" w:eastAsiaTheme="minorEastAsia" w:hAnsi="Times New Roman" w:cs="Times New Roman"/>
                <w:i/>
                <w:iCs/>
                <w:vertAlign w:val="subscript"/>
              </w:rPr>
              <w:t>j</w:t>
            </w:r>
            <w:proofErr w:type="spellEnd"/>
          </w:p>
        </w:tc>
      </w:tr>
      <w:tr w:rsidR="00F8392A" w:rsidRPr="00CC0D73" w14:paraId="64F79839" w14:textId="77777777" w:rsidTr="00DE5E35">
        <w:tc>
          <w:tcPr>
            <w:tcW w:w="7299" w:type="dxa"/>
            <w:tcBorders>
              <w:top w:val="nil"/>
              <w:left w:val="nil"/>
              <w:bottom w:val="nil"/>
              <w:right w:val="nil"/>
            </w:tcBorders>
          </w:tcPr>
          <w:p w14:paraId="67F2A735" w14:textId="3199360F" w:rsidR="00F8392A" w:rsidRDefault="00F8392A" w:rsidP="00DE5E35">
            <w:pPr>
              <w:rPr>
                <w:rFonts w:ascii="Times New Roman" w:hAnsi="Times New Roman" w:cs="Times New Roman"/>
              </w:rPr>
            </w:pPr>
            <w:r>
              <w:rPr>
                <w:rFonts w:ascii="Times New Roman" w:hAnsi="Times New Roman" w:cs="Times New Roman"/>
              </w:rPr>
              <w:t xml:space="preserve">Fugacity </w:t>
            </w:r>
            <w:r w:rsidR="00C973DE">
              <w:rPr>
                <w:rFonts w:ascii="Times New Roman" w:hAnsi="Times New Roman" w:cs="Times New Roman"/>
              </w:rPr>
              <w:t xml:space="preserve">or activity </w:t>
            </w:r>
            <w:r>
              <w:rPr>
                <w:rFonts w:ascii="Times New Roman" w:hAnsi="Times New Roman" w:cs="Times New Roman"/>
              </w:rPr>
              <w:t xml:space="preserve">coefficient of species </w:t>
            </w:r>
            <w:proofErr w:type="spellStart"/>
            <w:r w:rsidRPr="00A2142B">
              <w:rPr>
                <w:rFonts w:ascii="Times New Roman" w:hAnsi="Times New Roman" w:cs="Times New Roman"/>
                <w:i/>
                <w:iCs/>
              </w:rPr>
              <w:t>i</w:t>
            </w:r>
            <w:proofErr w:type="spellEnd"/>
            <w:r w:rsidR="00311C9F" w:rsidRPr="00CC0D73">
              <w:rPr>
                <w:rFonts w:ascii="Times New Roman" w:hAnsi="Times New Roman" w:cs="Times New Roman"/>
              </w:rPr>
              <w:t xml:space="preserve"> in phase </w:t>
            </w:r>
            <w:r w:rsidR="00311C9F" w:rsidRPr="00CC0D73">
              <w:rPr>
                <w:rFonts w:ascii="Times New Roman" w:hAnsi="Times New Roman" w:cs="Times New Roman"/>
                <w:i/>
                <w:iCs/>
              </w:rPr>
              <w:t>j</w:t>
            </w:r>
          </w:p>
        </w:tc>
        <w:tc>
          <w:tcPr>
            <w:tcW w:w="1727" w:type="dxa"/>
            <w:tcBorders>
              <w:top w:val="nil"/>
              <w:left w:val="nil"/>
              <w:bottom w:val="nil"/>
              <w:right w:val="nil"/>
            </w:tcBorders>
          </w:tcPr>
          <w:p w14:paraId="63057F75" w14:textId="17EF9D54" w:rsidR="00F8392A" w:rsidRPr="00A2142B" w:rsidRDefault="00063B50" w:rsidP="00DE5E35">
            <w:pPr>
              <w:jc w:val="center"/>
              <w:rPr>
                <w:rFonts w:ascii="Times New Roman" w:hAnsi="Times New Roman" w:cs="Times New Roman"/>
              </w:rPr>
            </w:pPr>
            <m:oMath>
              <m:sSubSup>
                <m:sSubSupPr>
                  <m:ctrlPr>
                    <w:rPr>
                      <w:rFonts w:ascii="Cambria Math" w:hAnsi="Cambria Math" w:cs="Times New Roman"/>
                      <w:i/>
                      <w:iCs/>
                    </w:rPr>
                  </m:ctrlPr>
                </m:sSubSupPr>
                <m:e>
                  <m:r>
                    <w:rPr>
                      <w:rFonts w:ascii="Cambria Math" w:hAnsi="Cambria Math" w:cs="Times New Roman"/>
                    </w:rPr>
                    <m:t>γ</m:t>
                  </m:r>
                </m:e>
                <m:sub>
                  <m:r>
                    <w:rPr>
                      <w:rFonts w:ascii="Cambria Math" w:hAnsi="Cambria Math" w:cs="Times New Roman"/>
                    </w:rPr>
                    <m:t>i</m:t>
                  </m:r>
                </m:sub>
                <m:sup>
                  <m:r>
                    <w:rPr>
                      <w:rFonts w:ascii="Cambria Math" w:hAnsi="Cambria Math" w:cs="Times New Roman"/>
                    </w:rPr>
                    <m:t>j</m:t>
                  </m:r>
                </m:sup>
              </m:sSubSup>
            </m:oMath>
            <w:r w:rsidR="00C973DE">
              <w:rPr>
                <w:rFonts w:ascii="Times New Roman" w:eastAsiaTheme="minorEastAsia" w:hAnsi="Times New Roman" w:cs="Times New Roman"/>
                <w:iCs/>
              </w:rPr>
              <w:t xml:space="preserve"> | </w:t>
            </w:r>
            <w:proofErr w:type="spellStart"/>
            <w:r w:rsidR="00F8392A" w:rsidRPr="00B67966">
              <w:rPr>
                <w:rFonts w:ascii="Times New Roman" w:hAnsi="Times New Roman" w:cs="Times New Roman"/>
                <w:i/>
                <w:iCs/>
              </w:rPr>
              <w:t>γ</w:t>
            </w:r>
            <w:r w:rsidR="00EC0637" w:rsidRPr="00EC0637">
              <w:rPr>
                <w:rFonts w:ascii="Times New Roman" w:eastAsiaTheme="minorEastAsia" w:hAnsi="Times New Roman" w:cs="Times New Roman"/>
                <w:i/>
                <w:iCs/>
                <w:vertAlign w:val="superscript"/>
              </w:rPr>
              <w:t>i</w:t>
            </w:r>
            <w:r w:rsidR="00EC0637" w:rsidRPr="00EC0637">
              <w:rPr>
                <w:rFonts w:ascii="Times New Roman" w:eastAsiaTheme="minorEastAsia" w:hAnsi="Times New Roman" w:cs="Times New Roman"/>
                <w:i/>
                <w:iCs/>
                <w:vertAlign w:val="subscript"/>
              </w:rPr>
              <w:t>j</w:t>
            </w:r>
            <w:proofErr w:type="spellEnd"/>
          </w:p>
        </w:tc>
      </w:tr>
      <w:tr w:rsidR="00F8392A" w:rsidRPr="00CC0D73" w14:paraId="75D6896A" w14:textId="77777777" w:rsidTr="00DE5E35">
        <w:tc>
          <w:tcPr>
            <w:tcW w:w="7299" w:type="dxa"/>
            <w:tcBorders>
              <w:top w:val="nil"/>
              <w:left w:val="nil"/>
              <w:bottom w:val="nil"/>
              <w:right w:val="nil"/>
            </w:tcBorders>
          </w:tcPr>
          <w:p w14:paraId="0997B20E" w14:textId="77777777" w:rsidR="00F8392A" w:rsidRPr="00506D32" w:rsidRDefault="00F8392A" w:rsidP="00DE5E35">
            <w:pPr>
              <w:rPr>
                <w:rFonts w:ascii="Times New Roman" w:hAnsi="Times New Roman" w:cs="Times New Roman"/>
                <w:i/>
                <w:iCs/>
              </w:rPr>
            </w:pPr>
            <w:r>
              <w:rPr>
                <w:rFonts w:ascii="Times New Roman" w:hAnsi="Times New Roman" w:cs="Times New Roman"/>
              </w:rPr>
              <w:t xml:space="preserve">Equilibrium constant for reaction </w:t>
            </w:r>
            <w:r>
              <w:rPr>
                <w:rFonts w:ascii="Times New Roman" w:hAnsi="Times New Roman" w:cs="Times New Roman"/>
                <w:i/>
                <w:iCs/>
              </w:rPr>
              <w:t>j</w:t>
            </w:r>
          </w:p>
        </w:tc>
        <w:tc>
          <w:tcPr>
            <w:tcW w:w="1727" w:type="dxa"/>
            <w:tcBorders>
              <w:top w:val="nil"/>
              <w:left w:val="nil"/>
              <w:bottom w:val="nil"/>
              <w:right w:val="nil"/>
            </w:tcBorders>
          </w:tcPr>
          <w:p w14:paraId="1B96736B" w14:textId="77777777" w:rsidR="00F8392A" w:rsidRPr="00A2142B" w:rsidRDefault="00F8392A" w:rsidP="00DE5E35">
            <w:pPr>
              <w:jc w:val="center"/>
              <w:rPr>
                <w:rFonts w:ascii="Times New Roman" w:hAnsi="Times New Roman" w:cs="Times New Roman"/>
              </w:rPr>
            </w:pPr>
            <w:proofErr w:type="spellStart"/>
            <w:r w:rsidRPr="00A2142B">
              <w:rPr>
                <w:rFonts w:ascii="Times New Roman" w:hAnsi="Times New Roman" w:cs="Times New Roman"/>
                <w:i/>
                <w:iCs/>
              </w:rPr>
              <w:t>K</w:t>
            </w:r>
            <w:r w:rsidRPr="00A2142B">
              <w:rPr>
                <w:rFonts w:ascii="Times New Roman" w:hAnsi="Times New Roman" w:cs="Times New Roman"/>
                <w:i/>
                <w:iCs/>
                <w:vertAlign w:val="subscript"/>
              </w:rPr>
              <w:t>j</w:t>
            </w:r>
            <w:proofErr w:type="spellEnd"/>
          </w:p>
        </w:tc>
      </w:tr>
      <w:tr w:rsidR="00311C9F" w:rsidRPr="00CC0D73" w14:paraId="4A04651D" w14:textId="77777777" w:rsidTr="00DE5E35">
        <w:tc>
          <w:tcPr>
            <w:tcW w:w="7299" w:type="dxa"/>
            <w:tcBorders>
              <w:top w:val="nil"/>
              <w:left w:val="nil"/>
              <w:bottom w:val="nil"/>
              <w:right w:val="nil"/>
            </w:tcBorders>
          </w:tcPr>
          <w:p w14:paraId="317C541D" w14:textId="1F941D75" w:rsidR="00311C9F" w:rsidRDefault="00C47B21" w:rsidP="00311C9F">
            <w:pPr>
              <w:rPr>
                <w:rFonts w:ascii="Times New Roman" w:hAnsi="Times New Roman" w:cs="Times New Roman"/>
              </w:rPr>
            </w:pPr>
            <w:r>
              <w:rPr>
                <w:rFonts w:ascii="Times New Roman" w:hAnsi="Times New Roman" w:cs="Times New Roman"/>
              </w:rPr>
              <w:t xml:space="preserve">Solubility </w:t>
            </w:r>
            <w:r w:rsidR="00311C9F">
              <w:rPr>
                <w:rFonts w:ascii="Times New Roman" w:hAnsi="Times New Roman" w:cs="Times New Roman"/>
              </w:rPr>
              <w:t xml:space="preserve">for reaction </w:t>
            </w:r>
            <w:r w:rsidR="00311C9F">
              <w:rPr>
                <w:rFonts w:ascii="Times New Roman" w:hAnsi="Times New Roman" w:cs="Times New Roman"/>
                <w:i/>
                <w:iCs/>
              </w:rPr>
              <w:t>j</w:t>
            </w:r>
          </w:p>
        </w:tc>
        <w:tc>
          <w:tcPr>
            <w:tcW w:w="1727" w:type="dxa"/>
            <w:tcBorders>
              <w:top w:val="nil"/>
              <w:left w:val="nil"/>
              <w:bottom w:val="nil"/>
              <w:right w:val="nil"/>
            </w:tcBorders>
          </w:tcPr>
          <w:p w14:paraId="09B39915" w14:textId="33238A3C" w:rsidR="00311C9F" w:rsidRPr="00A2142B" w:rsidRDefault="00311C9F" w:rsidP="00311C9F">
            <w:pPr>
              <w:jc w:val="center"/>
              <w:rPr>
                <w:rFonts w:ascii="Times New Roman" w:hAnsi="Times New Roman" w:cs="Times New Roman"/>
              </w:rPr>
            </w:pPr>
            <w:proofErr w:type="spellStart"/>
            <w:r>
              <w:rPr>
                <w:rFonts w:ascii="Times New Roman" w:hAnsi="Times New Roman" w:cs="Times New Roman"/>
                <w:i/>
                <w:iCs/>
              </w:rPr>
              <w:t>C</w:t>
            </w:r>
            <w:r w:rsidRPr="00A2142B">
              <w:rPr>
                <w:rFonts w:ascii="Times New Roman" w:hAnsi="Times New Roman" w:cs="Times New Roman"/>
                <w:i/>
                <w:iCs/>
                <w:vertAlign w:val="subscript"/>
              </w:rPr>
              <w:t>j</w:t>
            </w:r>
            <w:proofErr w:type="spellEnd"/>
          </w:p>
        </w:tc>
      </w:tr>
      <w:tr w:rsidR="00311C9F" w:rsidRPr="00CC0D73" w14:paraId="4C9FE024" w14:textId="77777777" w:rsidTr="00DE5E35">
        <w:tc>
          <w:tcPr>
            <w:tcW w:w="7299" w:type="dxa"/>
            <w:tcBorders>
              <w:top w:val="nil"/>
              <w:left w:val="nil"/>
              <w:bottom w:val="nil"/>
              <w:right w:val="nil"/>
            </w:tcBorders>
          </w:tcPr>
          <w:p w14:paraId="45C414C8" w14:textId="77777777" w:rsidR="00311C9F" w:rsidRDefault="00311C9F" w:rsidP="00311C9F">
            <w:pPr>
              <w:rPr>
                <w:rFonts w:ascii="Times New Roman" w:hAnsi="Times New Roman" w:cs="Times New Roman"/>
              </w:rPr>
            </w:pPr>
            <w:proofErr w:type="spellStart"/>
            <w:r>
              <w:rPr>
                <w:rFonts w:ascii="Times New Roman" w:hAnsi="Times New Roman" w:cs="Times New Roman"/>
              </w:rPr>
              <w:t>Sulfur</w:t>
            </w:r>
            <w:proofErr w:type="spellEnd"/>
            <w:r>
              <w:rPr>
                <w:rFonts w:ascii="Times New Roman" w:hAnsi="Times New Roman" w:cs="Times New Roman"/>
              </w:rPr>
              <w:t xml:space="preserve"> solubility minimum</w:t>
            </w:r>
          </w:p>
        </w:tc>
        <w:tc>
          <w:tcPr>
            <w:tcW w:w="1727" w:type="dxa"/>
            <w:tcBorders>
              <w:top w:val="nil"/>
              <w:left w:val="nil"/>
              <w:bottom w:val="nil"/>
              <w:right w:val="nil"/>
            </w:tcBorders>
          </w:tcPr>
          <w:p w14:paraId="0E5E2436" w14:textId="77777777" w:rsidR="00311C9F" w:rsidRDefault="00311C9F" w:rsidP="00311C9F">
            <w:pPr>
              <w:jc w:val="center"/>
              <w:rPr>
                <w:rFonts w:ascii="Times New Roman" w:hAnsi="Times New Roman" w:cs="Times New Roman"/>
              </w:rPr>
            </w:pPr>
            <w:proofErr w:type="spellStart"/>
            <w:r>
              <w:rPr>
                <w:rFonts w:ascii="Times New Roman" w:hAnsi="Times New Roman" w:cs="Times New Roman"/>
              </w:rPr>
              <w:t>SS</w:t>
            </w:r>
            <w:r w:rsidRPr="00783884">
              <w:rPr>
                <w:rFonts w:ascii="Times New Roman" w:hAnsi="Times New Roman" w:cs="Times New Roman"/>
                <w:vertAlign w:val="superscript"/>
              </w:rPr>
              <w:t>min</w:t>
            </w:r>
            <w:proofErr w:type="spellEnd"/>
          </w:p>
        </w:tc>
      </w:tr>
      <w:tr w:rsidR="00311C9F" w:rsidRPr="00CC0D73" w14:paraId="4B7E37F0" w14:textId="77777777" w:rsidTr="00DE5E35">
        <w:tc>
          <w:tcPr>
            <w:tcW w:w="7299" w:type="dxa"/>
            <w:tcBorders>
              <w:top w:val="nil"/>
              <w:left w:val="nil"/>
              <w:bottom w:val="single" w:sz="4" w:space="0" w:color="auto"/>
              <w:right w:val="nil"/>
            </w:tcBorders>
          </w:tcPr>
          <w:p w14:paraId="7E59F7B3" w14:textId="1E89D960" w:rsidR="00311C9F" w:rsidRDefault="00311C9F" w:rsidP="00311C9F">
            <w:pPr>
              <w:rPr>
                <w:rFonts w:ascii="Times New Roman" w:hAnsi="Times New Roman" w:cs="Times New Roman"/>
              </w:rPr>
            </w:pPr>
            <w:r>
              <w:rPr>
                <w:rFonts w:ascii="Times New Roman" w:hAnsi="Times New Roman" w:cs="Times New Roman"/>
              </w:rPr>
              <w:t>Fayalite-Magnetite-Quartz</w:t>
            </w:r>
          </w:p>
        </w:tc>
        <w:tc>
          <w:tcPr>
            <w:tcW w:w="1727" w:type="dxa"/>
            <w:tcBorders>
              <w:top w:val="nil"/>
              <w:left w:val="nil"/>
              <w:bottom w:val="single" w:sz="4" w:space="0" w:color="auto"/>
              <w:right w:val="nil"/>
            </w:tcBorders>
          </w:tcPr>
          <w:p w14:paraId="5C80926D" w14:textId="77777777" w:rsidR="00311C9F" w:rsidRDefault="00311C9F" w:rsidP="00311C9F">
            <w:pPr>
              <w:jc w:val="center"/>
              <w:rPr>
                <w:rFonts w:ascii="Times New Roman" w:hAnsi="Times New Roman" w:cs="Times New Roman"/>
              </w:rPr>
            </w:pPr>
            <w:r>
              <w:rPr>
                <w:rFonts w:ascii="Times New Roman" w:hAnsi="Times New Roman" w:cs="Times New Roman"/>
              </w:rPr>
              <w:t>FMQ</w:t>
            </w:r>
          </w:p>
        </w:tc>
      </w:tr>
    </w:tbl>
    <w:p w14:paraId="29F6B426" w14:textId="77777777" w:rsidR="009D56B3" w:rsidRDefault="009D56B3">
      <w:pPr>
        <w:rPr>
          <w:rFonts w:ascii="Times New Roman" w:hAnsi="Times New Roman" w:cs="Times New Roman"/>
          <w:b/>
          <w:bCs/>
        </w:rPr>
      </w:pPr>
    </w:p>
    <w:p w14:paraId="0F6DE603" w14:textId="424587EC" w:rsidR="00C62730" w:rsidRDefault="00C62730">
      <w:pPr>
        <w:rPr>
          <w:rFonts w:asciiTheme="majorBidi" w:eastAsiaTheme="majorEastAsia" w:hAnsiTheme="majorBidi" w:cs="Times New Roman"/>
          <w:b/>
          <w:color w:val="000000" w:themeColor="text1"/>
          <w:szCs w:val="32"/>
        </w:rPr>
      </w:pPr>
    </w:p>
    <w:p w14:paraId="3C3CE9D4" w14:textId="3D376F88" w:rsidR="00C973DE" w:rsidRPr="00C973DE" w:rsidDel="00C973DE" w:rsidRDefault="00C973DE" w:rsidP="00C973DE">
      <w:pPr>
        <w:pStyle w:val="Heading1"/>
      </w:pPr>
      <w:r>
        <w:t>Melt composition used for calculations</w:t>
      </w:r>
    </w:p>
    <w:p w14:paraId="3A81AA21" w14:textId="3856841D" w:rsidR="00D077C8" w:rsidRDefault="00D077C8" w:rsidP="0022237F">
      <w:pPr>
        <w:spacing w:after="240"/>
        <w:ind w:firstLine="432"/>
        <w:jc w:val="both"/>
        <w:rPr>
          <w:rFonts w:ascii="Times New Roman" w:hAnsi="Times New Roman" w:cs="Times New Roman"/>
        </w:rPr>
      </w:pPr>
      <w:r>
        <w:rPr>
          <w:rFonts w:ascii="Times New Roman" w:hAnsi="Times New Roman" w:cs="Times New Roman"/>
        </w:rPr>
        <w:t xml:space="preserve">We model a </w:t>
      </w:r>
      <w:r w:rsidRPr="00CC0D73">
        <w:rPr>
          <w:rFonts w:ascii="Times New Roman" w:hAnsi="Times New Roman" w:cs="Times New Roman"/>
        </w:rPr>
        <w:t>Hawaiian</w:t>
      </w:r>
      <w:r>
        <w:rPr>
          <w:rFonts w:ascii="Times New Roman" w:hAnsi="Times New Roman" w:cs="Times New Roman"/>
        </w:rPr>
        <w:t xml:space="preserve"> tholeiite</w:t>
      </w:r>
      <w:r w:rsidRPr="00CC0D73">
        <w:rPr>
          <w:rFonts w:ascii="Times New Roman" w:hAnsi="Times New Roman" w:cs="Times New Roman"/>
        </w:rPr>
        <w:t xml:space="preserve"> melt</w:t>
      </w:r>
      <w:r>
        <w:rPr>
          <w:rFonts w:ascii="Times New Roman" w:hAnsi="Times New Roman" w:cs="Times New Roman"/>
        </w:rPr>
        <w:t xml:space="preserve">, which is the same as the silicate melt component used in </w:t>
      </w:r>
      <w:r w:rsidR="00BA5CF4">
        <w:rPr>
          <w:rFonts w:ascii="Times New Roman" w:hAnsi="Times New Roman" w:cs="Times New Roman"/>
        </w:rPr>
        <w:fldChar w:fldCharType="begin" w:fldLock="1"/>
      </w:r>
      <w:r w:rsidR="003910EA">
        <w:rPr>
          <w:rFonts w:ascii="Times New Roman" w:hAnsi="Times New Roman" w:cs="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BA5CF4">
        <w:rPr>
          <w:rFonts w:ascii="Times New Roman" w:hAnsi="Times New Roman" w:cs="Times New Roman"/>
        </w:rPr>
        <w:fldChar w:fldCharType="separate"/>
      </w:r>
      <w:r w:rsidR="0028588E" w:rsidRPr="0028588E">
        <w:rPr>
          <w:rFonts w:ascii="Times New Roman" w:hAnsi="Times New Roman" w:cs="Times New Roman"/>
          <w:noProof/>
        </w:rPr>
        <w:t xml:space="preserve">Hughes et al. </w:t>
      </w:r>
      <w:r w:rsidR="00C973DE">
        <w:rPr>
          <w:rFonts w:ascii="Times New Roman" w:hAnsi="Times New Roman" w:cs="Times New Roman"/>
          <w:noProof/>
        </w:rPr>
        <w:t>(</w:t>
      </w:r>
      <w:r w:rsidR="0028588E" w:rsidRPr="0028588E">
        <w:rPr>
          <w:rFonts w:ascii="Times New Roman" w:hAnsi="Times New Roman" w:cs="Times New Roman"/>
          <w:noProof/>
        </w:rPr>
        <w:t>2023)</w:t>
      </w:r>
      <w:r w:rsidR="00BA5CF4">
        <w:rPr>
          <w:rFonts w:ascii="Times New Roman" w:hAnsi="Times New Roman" w:cs="Times New Roman"/>
        </w:rPr>
        <w:fldChar w:fldCharType="end"/>
      </w:r>
      <w:r>
        <w:rPr>
          <w:rFonts w:ascii="Times New Roman" w:hAnsi="Times New Roman" w:cs="Times New Roman"/>
        </w:rPr>
        <w:t xml:space="preserve"> </w:t>
      </w:r>
      <w:r w:rsidRPr="00CC0D73">
        <w:rPr>
          <w:rFonts w:ascii="Times New Roman" w:hAnsi="Times New Roman" w:cs="Times New Roman"/>
          <w:color w:val="000000" w:themeColor="text1"/>
        </w:rPr>
        <w:t>(</w:t>
      </w:r>
      <w:r>
        <w:rPr>
          <w:rFonts w:ascii="Times New Roman" w:hAnsi="Times New Roman" w:cs="Times New Roman"/>
          <w:color w:val="000000" w:themeColor="text1"/>
        </w:rPr>
        <w:t>Table S1</w:t>
      </w:r>
      <w:r w:rsidRPr="00CC0D73">
        <w:rPr>
          <w:rFonts w:ascii="Times New Roman" w:hAnsi="Times New Roman" w:cs="Times New Roman"/>
          <w:color w:val="000000" w:themeColor="text1"/>
        </w:rPr>
        <w:t>)</w:t>
      </w:r>
      <w:r w:rsidRPr="00CC0D73">
        <w:rPr>
          <w:rFonts w:ascii="Times New Roman" w:hAnsi="Times New Roman" w:cs="Times New Roman"/>
        </w:rPr>
        <w:t>.</w:t>
      </w:r>
    </w:p>
    <w:p w14:paraId="1B688045" w14:textId="6A172C4B" w:rsidR="00D077C8" w:rsidRPr="00F81B70" w:rsidRDefault="00D077C8" w:rsidP="00D077C8">
      <w:pPr>
        <w:pStyle w:val="Caption"/>
        <w:keepNext/>
        <w:spacing w:after="0"/>
        <w:ind w:firstLine="0"/>
        <w:rPr>
          <w:rFonts w:ascii="Times New Roman" w:hAnsi="Times New Roman" w:cs="Times New Roman"/>
          <w:i w:val="0"/>
          <w:iCs w:val="0"/>
          <w:color w:val="000000" w:themeColor="text1"/>
          <w:sz w:val="24"/>
          <w:szCs w:val="24"/>
        </w:rPr>
      </w:pPr>
      <w:bookmarkStart w:id="0" w:name="_Ref76325339"/>
      <w:r w:rsidRPr="00F81B70">
        <w:rPr>
          <w:rFonts w:ascii="Times New Roman" w:hAnsi="Times New Roman" w:cs="Times New Roman"/>
          <w:color w:val="000000" w:themeColor="text1"/>
          <w:sz w:val="24"/>
          <w:szCs w:val="24"/>
        </w:rPr>
        <w:t>Table S</w:t>
      </w:r>
      <w:r w:rsidRPr="00F81B70">
        <w:rPr>
          <w:rFonts w:ascii="Times New Roman" w:hAnsi="Times New Roman" w:cs="Times New Roman"/>
          <w:color w:val="000000" w:themeColor="text1"/>
          <w:sz w:val="24"/>
          <w:szCs w:val="24"/>
        </w:rPr>
        <w:fldChar w:fldCharType="begin"/>
      </w:r>
      <w:r w:rsidRPr="00F81B70">
        <w:rPr>
          <w:rFonts w:ascii="Times New Roman" w:hAnsi="Times New Roman" w:cs="Times New Roman"/>
          <w:color w:val="000000" w:themeColor="text1"/>
          <w:sz w:val="24"/>
          <w:szCs w:val="24"/>
        </w:rPr>
        <w:instrText xml:space="preserve"> SEQ Table \* ARABIC </w:instrText>
      </w:r>
      <w:r w:rsidRPr="00F81B70">
        <w:rPr>
          <w:rFonts w:ascii="Times New Roman" w:hAnsi="Times New Roman" w:cs="Times New Roman"/>
          <w:color w:val="000000" w:themeColor="text1"/>
          <w:sz w:val="24"/>
          <w:szCs w:val="24"/>
        </w:rPr>
        <w:fldChar w:fldCharType="separate"/>
      </w:r>
      <w:r w:rsidR="00B9491E">
        <w:rPr>
          <w:rFonts w:ascii="Times New Roman" w:hAnsi="Times New Roman" w:cs="Times New Roman"/>
          <w:noProof/>
          <w:color w:val="000000" w:themeColor="text1"/>
          <w:sz w:val="24"/>
          <w:szCs w:val="24"/>
        </w:rPr>
        <w:t>1</w:t>
      </w:r>
      <w:r w:rsidRPr="00F81B70">
        <w:rPr>
          <w:rFonts w:ascii="Times New Roman" w:hAnsi="Times New Roman" w:cs="Times New Roman"/>
          <w:color w:val="000000" w:themeColor="text1"/>
          <w:sz w:val="24"/>
          <w:szCs w:val="24"/>
        </w:rPr>
        <w:fldChar w:fldCharType="end"/>
      </w:r>
      <w:bookmarkEnd w:id="0"/>
      <w:r w:rsidRPr="00F81B70">
        <w:rPr>
          <w:rFonts w:ascii="Times New Roman" w:hAnsi="Times New Roman" w:cs="Times New Roman"/>
          <w:i w:val="0"/>
          <w:iCs w:val="0"/>
          <w:color w:val="000000" w:themeColor="text1"/>
          <w:sz w:val="24"/>
          <w:szCs w:val="24"/>
        </w:rPr>
        <w:t xml:space="preserve"> Hawaiian </w:t>
      </w:r>
      <w:r w:rsidR="00C973DE">
        <w:rPr>
          <w:rFonts w:ascii="Times New Roman" w:hAnsi="Times New Roman" w:cs="Times New Roman"/>
          <w:i w:val="0"/>
          <w:iCs w:val="0"/>
          <w:color w:val="000000" w:themeColor="text1"/>
          <w:sz w:val="24"/>
          <w:szCs w:val="24"/>
        </w:rPr>
        <w:t>tholeiite</w:t>
      </w:r>
      <w:r w:rsidR="00C973DE" w:rsidRPr="00F81B70">
        <w:rPr>
          <w:rFonts w:ascii="Times New Roman" w:hAnsi="Times New Roman" w:cs="Times New Roman"/>
          <w:i w:val="0"/>
          <w:iCs w:val="0"/>
          <w:color w:val="000000" w:themeColor="text1"/>
          <w:sz w:val="24"/>
          <w:szCs w:val="24"/>
        </w:rPr>
        <w:t xml:space="preserve"> </w:t>
      </w:r>
      <w:r w:rsidRPr="00F81B70">
        <w:rPr>
          <w:rFonts w:ascii="Times New Roman" w:hAnsi="Times New Roman" w:cs="Times New Roman"/>
          <w:i w:val="0"/>
          <w:iCs w:val="0"/>
          <w:color w:val="000000" w:themeColor="text1"/>
          <w:sz w:val="24"/>
          <w:szCs w:val="24"/>
        </w:rPr>
        <w:t>melt composition.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8"/>
        <w:gridCol w:w="896"/>
        <w:gridCol w:w="912"/>
        <w:gridCol w:w="907"/>
        <w:gridCol w:w="902"/>
        <w:gridCol w:w="902"/>
        <w:gridCol w:w="907"/>
        <w:gridCol w:w="906"/>
        <w:gridCol w:w="890"/>
        <w:gridCol w:w="896"/>
      </w:tblGrid>
      <w:tr w:rsidR="00D077C8" w:rsidRPr="00CC0D73" w14:paraId="1C011091" w14:textId="77777777" w:rsidTr="00DE5E35">
        <w:tc>
          <w:tcPr>
            <w:tcW w:w="935" w:type="dxa"/>
            <w:tcBorders>
              <w:top w:val="single" w:sz="4" w:space="0" w:color="auto"/>
            </w:tcBorders>
          </w:tcPr>
          <w:p w14:paraId="130D8719"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SiO</w:t>
            </w:r>
            <w:r w:rsidRPr="00CC0D73">
              <w:rPr>
                <w:rFonts w:ascii="Times New Roman" w:hAnsi="Times New Roman" w:cs="Times New Roman"/>
                <w:vertAlign w:val="subscript"/>
              </w:rPr>
              <w:t>2</w:t>
            </w:r>
          </w:p>
        </w:tc>
        <w:tc>
          <w:tcPr>
            <w:tcW w:w="935" w:type="dxa"/>
            <w:tcBorders>
              <w:top w:val="single" w:sz="4" w:space="0" w:color="auto"/>
            </w:tcBorders>
          </w:tcPr>
          <w:p w14:paraId="09048E1F"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TiO</w:t>
            </w:r>
            <w:r w:rsidRPr="00CC0D73">
              <w:rPr>
                <w:rFonts w:ascii="Times New Roman" w:hAnsi="Times New Roman" w:cs="Times New Roman"/>
                <w:vertAlign w:val="subscript"/>
              </w:rPr>
              <w:t>2</w:t>
            </w:r>
          </w:p>
        </w:tc>
        <w:tc>
          <w:tcPr>
            <w:tcW w:w="935" w:type="dxa"/>
            <w:tcBorders>
              <w:top w:val="single" w:sz="4" w:space="0" w:color="auto"/>
            </w:tcBorders>
          </w:tcPr>
          <w:p w14:paraId="0ECCEC0B"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Al</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3</w:t>
            </w:r>
          </w:p>
        </w:tc>
        <w:tc>
          <w:tcPr>
            <w:tcW w:w="935" w:type="dxa"/>
            <w:tcBorders>
              <w:top w:val="single" w:sz="4" w:space="0" w:color="auto"/>
            </w:tcBorders>
          </w:tcPr>
          <w:p w14:paraId="66881EFC" w14:textId="77777777" w:rsidR="00D077C8" w:rsidRPr="00CC0D73" w:rsidRDefault="00D077C8" w:rsidP="00DE5E35">
            <w:pPr>
              <w:jc w:val="center"/>
              <w:rPr>
                <w:rFonts w:ascii="Times New Roman" w:hAnsi="Times New Roman" w:cs="Times New Roman"/>
              </w:rPr>
            </w:pPr>
            <w:proofErr w:type="spellStart"/>
            <w:r w:rsidRPr="00CC0D73">
              <w:rPr>
                <w:rFonts w:ascii="Times New Roman" w:hAnsi="Times New Roman" w:cs="Times New Roman"/>
              </w:rPr>
              <w:t>FeO</w:t>
            </w:r>
            <w:r w:rsidRPr="00CC0D73">
              <w:rPr>
                <w:rFonts w:ascii="Times New Roman" w:hAnsi="Times New Roman" w:cs="Times New Roman"/>
                <w:vertAlign w:val="subscript"/>
              </w:rPr>
              <w:t>T</w:t>
            </w:r>
            <w:proofErr w:type="spellEnd"/>
          </w:p>
        </w:tc>
        <w:tc>
          <w:tcPr>
            <w:tcW w:w="935" w:type="dxa"/>
            <w:tcBorders>
              <w:top w:val="single" w:sz="4" w:space="0" w:color="auto"/>
            </w:tcBorders>
          </w:tcPr>
          <w:p w14:paraId="0F19A435" w14:textId="77777777" w:rsidR="00D077C8" w:rsidRPr="00CC0D73" w:rsidRDefault="00D077C8" w:rsidP="00DE5E35">
            <w:pPr>
              <w:jc w:val="center"/>
              <w:rPr>
                <w:rFonts w:ascii="Times New Roman" w:hAnsi="Times New Roman" w:cs="Times New Roman"/>
              </w:rPr>
            </w:pPr>
            <w:proofErr w:type="spellStart"/>
            <w:r w:rsidRPr="00CC0D73">
              <w:rPr>
                <w:rFonts w:ascii="Times New Roman" w:hAnsi="Times New Roman" w:cs="Times New Roman"/>
              </w:rPr>
              <w:t>MnO</w:t>
            </w:r>
            <w:proofErr w:type="spellEnd"/>
          </w:p>
        </w:tc>
        <w:tc>
          <w:tcPr>
            <w:tcW w:w="935" w:type="dxa"/>
            <w:tcBorders>
              <w:top w:val="single" w:sz="4" w:space="0" w:color="auto"/>
            </w:tcBorders>
          </w:tcPr>
          <w:p w14:paraId="65BD45FD"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MgO</w:t>
            </w:r>
          </w:p>
        </w:tc>
        <w:tc>
          <w:tcPr>
            <w:tcW w:w="935" w:type="dxa"/>
            <w:tcBorders>
              <w:top w:val="single" w:sz="4" w:space="0" w:color="auto"/>
            </w:tcBorders>
          </w:tcPr>
          <w:p w14:paraId="2932F8B7" w14:textId="77777777" w:rsidR="00D077C8" w:rsidRPr="00CC0D73" w:rsidRDefault="00D077C8" w:rsidP="00DE5E35">
            <w:pPr>
              <w:jc w:val="center"/>
              <w:rPr>
                <w:rFonts w:ascii="Times New Roman" w:hAnsi="Times New Roman" w:cs="Times New Roman"/>
              </w:rPr>
            </w:pPr>
            <w:proofErr w:type="spellStart"/>
            <w:r w:rsidRPr="00CC0D73">
              <w:rPr>
                <w:rFonts w:ascii="Times New Roman" w:hAnsi="Times New Roman" w:cs="Times New Roman"/>
              </w:rPr>
              <w:t>CaO</w:t>
            </w:r>
            <w:proofErr w:type="spellEnd"/>
          </w:p>
        </w:tc>
        <w:tc>
          <w:tcPr>
            <w:tcW w:w="935" w:type="dxa"/>
            <w:tcBorders>
              <w:top w:val="single" w:sz="4" w:space="0" w:color="auto"/>
            </w:tcBorders>
          </w:tcPr>
          <w:p w14:paraId="237C5D59"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Na</w:t>
            </w:r>
            <w:r w:rsidRPr="00CC0D73">
              <w:rPr>
                <w:rFonts w:ascii="Times New Roman" w:hAnsi="Times New Roman" w:cs="Times New Roman"/>
                <w:vertAlign w:val="subscript"/>
              </w:rPr>
              <w:t>2</w:t>
            </w:r>
            <w:r w:rsidRPr="00CC0D73">
              <w:rPr>
                <w:rFonts w:ascii="Times New Roman" w:hAnsi="Times New Roman" w:cs="Times New Roman"/>
              </w:rPr>
              <w:t>O</w:t>
            </w:r>
          </w:p>
        </w:tc>
        <w:tc>
          <w:tcPr>
            <w:tcW w:w="935" w:type="dxa"/>
            <w:tcBorders>
              <w:top w:val="single" w:sz="4" w:space="0" w:color="auto"/>
            </w:tcBorders>
          </w:tcPr>
          <w:p w14:paraId="7515E324"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K</w:t>
            </w:r>
            <w:r w:rsidRPr="00CC0D73">
              <w:rPr>
                <w:rFonts w:ascii="Times New Roman" w:hAnsi="Times New Roman" w:cs="Times New Roman"/>
                <w:vertAlign w:val="subscript"/>
              </w:rPr>
              <w:t>2</w:t>
            </w:r>
            <w:r w:rsidRPr="00CC0D73">
              <w:rPr>
                <w:rFonts w:ascii="Times New Roman" w:hAnsi="Times New Roman" w:cs="Times New Roman"/>
              </w:rPr>
              <w:t>O</w:t>
            </w:r>
          </w:p>
        </w:tc>
        <w:tc>
          <w:tcPr>
            <w:tcW w:w="935" w:type="dxa"/>
            <w:tcBorders>
              <w:top w:val="single" w:sz="4" w:space="0" w:color="auto"/>
            </w:tcBorders>
          </w:tcPr>
          <w:p w14:paraId="63B7C4AD" w14:textId="77777777" w:rsidR="00D077C8" w:rsidRPr="00CC0D73" w:rsidRDefault="00D077C8" w:rsidP="00DE5E35">
            <w:pPr>
              <w:jc w:val="center"/>
              <w:rPr>
                <w:rFonts w:ascii="Times New Roman" w:hAnsi="Times New Roman" w:cs="Times New Roman"/>
              </w:rPr>
            </w:pPr>
            <w:r w:rsidRPr="00CC0D73">
              <w:rPr>
                <w:rFonts w:ascii="Times New Roman" w:hAnsi="Times New Roman" w:cs="Times New Roman"/>
              </w:rPr>
              <w:t>P</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5</w:t>
            </w:r>
          </w:p>
        </w:tc>
      </w:tr>
      <w:tr w:rsidR="00D077C8" w:rsidRPr="00CC0D73" w14:paraId="0205C53C" w14:textId="77777777" w:rsidTr="00DE5E35">
        <w:tc>
          <w:tcPr>
            <w:tcW w:w="935" w:type="dxa"/>
            <w:tcBorders>
              <w:bottom w:val="single" w:sz="4" w:space="0" w:color="auto"/>
            </w:tcBorders>
          </w:tcPr>
          <w:p w14:paraId="6FE55DD8"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51.29</w:t>
            </w:r>
          </w:p>
        </w:tc>
        <w:tc>
          <w:tcPr>
            <w:tcW w:w="935" w:type="dxa"/>
            <w:tcBorders>
              <w:bottom w:val="single" w:sz="4" w:space="0" w:color="auto"/>
            </w:tcBorders>
          </w:tcPr>
          <w:p w14:paraId="4D4E1922"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2.50</w:t>
            </w:r>
          </w:p>
        </w:tc>
        <w:tc>
          <w:tcPr>
            <w:tcW w:w="935" w:type="dxa"/>
            <w:tcBorders>
              <w:bottom w:val="single" w:sz="4" w:space="0" w:color="auto"/>
            </w:tcBorders>
          </w:tcPr>
          <w:p w14:paraId="48271C52"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13.70</w:t>
            </w:r>
          </w:p>
        </w:tc>
        <w:tc>
          <w:tcPr>
            <w:tcW w:w="935" w:type="dxa"/>
            <w:tcBorders>
              <w:bottom w:val="single" w:sz="4" w:space="0" w:color="auto"/>
            </w:tcBorders>
          </w:tcPr>
          <w:p w14:paraId="1F765001"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11.04</w:t>
            </w:r>
          </w:p>
        </w:tc>
        <w:tc>
          <w:tcPr>
            <w:tcW w:w="935" w:type="dxa"/>
            <w:tcBorders>
              <w:bottom w:val="single" w:sz="4" w:space="0" w:color="auto"/>
            </w:tcBorders>
          </w:tcPr>
          <w:p w14:paraId="18E80484"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0.02</w:t>
            </w:r>
          </w:p>
        </w:tc>
        <w:tc>
          <w:tcPr>
            <w:tcW w:w="935" w:type="dxa"/>
            <w:tcBorders>
              <w:bottom w:val="single" w:sz="4" w:space="0" w:color="auto"/>
            </w:tcBorders>
          </w:tcPr>
          <w:p w14:paraId="180200BD"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6.70</w:t>
            </w:r>
          </w:p>
        </w:tc>
        <w:tc>
          <w:tcPr>
            <w:tcW w:w="935" w:type="dxa"/>
            <w:tcBorders>
              <w:bottom w:val="single" w:sz="4" w:space="0" w:color="auto"/>
            </w:tcBorders>
          </w:tcPr>
          <w:p w14:paraId="1FE322C3"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11.03</w:t>
            </w:r>
          </w:p>
        </w:tc>
        <w:tc>
          <w:tcPr>
            <w:tcW w:w="935" w:type="dxa"/>
            <w:tcBorders>
              <w:bottom w:val="single" w:sz="4" w:space="0" w:color="auto"/>
            </w:tcBorders>
          </w:tcPr>
          <w:p w14:paraId="67B94CFB"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2.27</w:t>
            </w:r>
          </w:p>
        </w:tc>
        <w:tc>
          <w:tcPr>
            <w:tcW w:w="935" w:type="dxa"/>
            <w:tcBorders>
              <w:bottom w:val="single" w:sz="4" w:space="0" w:color="auto"/>
            </w:tcBorders>
          </w:tcPr>
          <w:p w14:paraId="4ACB3796"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0.43</w:t>
            </w:r>
          </w:p>
        </w:tc>
        <w:tc>
          <w:tcPr>
            <w:tcW w:w="935" w:type="dxa"/>
            <w:tcBorders>
              <w:bottom w:val="single" w:sz="4" w:space="0" w:color="auto"/>
            </w:tcBorders>
          </w:tcPr>
          <w:p w14:paraId="71205FBD" w14:textId="77777777" w:rsidR="00D077C8" w:rsidRPr="00CC0D73" w:rsidRDefault="00D077C8" w:rsidP="00DE5E35">
            <w:pPr>
              <w:jc w:val="right"/>
              <w:rPr>
                <w:rFonts w:ascii="Times New Roman" w:hAnsi="Times New Roman" w:cs="Times New Roman"/>
              </w:rPr>
            </w:pPr>
            <w:r w:rsidRPr="00CC0D73">
              <w:rPr>
                <w:rFonts w:ascii="Times New Roman" w:hAnsi="Times New Roman" w:cs="Times New Roman"/>
              </w:rPr>
              <w:t>0.21</w:t>
            </w:r>
          </w:p>
        </w:tc>
      </w:tr>
    </w:tbl>
    <w:p w14:paraId="1DD9759C" w14:textId="597F5F2F" w:rsidR="00D077C8" w:rsidRPr="00F81B70" w:rsidRDefault="00D077C8" w:rsidP="0022237F">
      <w:pPr>
        <w:jc w:val="both"/>
        <w:rPr>
          <w:rFonts w:ascii="Times New Roman" w:hAnsi="Times New Roman" w:cs="Times New Roman"/>
        </w:rPr>
      </w:pPr>
      <w:r w:rsidRPr="00F81B70">
        <w:rPr>
          <w:rFonts w:ascii="Times New Roman" w:hAnsi="Times New Roman" w:cs="Times New Roman"/>
          <w:i/>
          <w:iCs/>
        </w:rPr>
        <w:t>Notes</w:t>
      </w:r>
      <w:r w:rsidRPr="00F81B70">
        <w:rPr>
          <w:rFonts w:ascii="Times New Roman" w:hAnsi="Times New Roman" w:cs="Times New Roman"/>
        </w:rPr>
        <w:t xml:space="preserve">: </w:t>
      </w:r>
      <w:r w:rsidRPr="00F81B70">
        <w:rPr>
          <w:rFonts w:ascii="Times New Roman" w:hAnsi="Times New Roman" w:cs="Times New Roman"/>
          <w:color w:val="000000" w:themeColor="text1"/>
        </w:rPr>
        <w:t>Average of high-SiO</w:t>
      </w:r>
      <w:r w:rsidRPr="00F81B70">
        <w:rPr>
          <w:rFonts w:ascii="Times New Roman" w:hAnsi="Times New Roman" w:cs="Times New Roman"/>
          <w:color w:val="000000" w:themeColor="text1"/>
          <w:vertAlign w:val="subscript"/>
        </w:rPr>
        <w:t>2</w:t>
      </w:r>
      <w:r w:rsidRPr="00F81B70">
        <w:rPr>
          <w:rFonts w:ascii="Times New Roman" w:hAnsi="Times New Roman" w:cs="Times New Roman"/>
          <w:color w:val="000000" w:themeColor="text1"/>
        </w:rPr>
        <w:t xml:space="preserve"> pillow-rim glasses in HSDP from Mauna Kea volcano from </w:t>
      </w:r>
      <w:r w:rsidRPr="00F81B70">
        <w:rPr>
          <w:rFonts w:ascii="Times New Roman" w:hAnsi="Times New Roman" w:cs="Times New Roman"/>
          <w:i/>
          <w:iCs/>
          <w:color w:val="000000" w:themeColor="text1"/>
        </w:rPr>
        <w:fldChar w:fldCharType="begin" w:fldLock="1"/>
      </w:r>
      <w:r w:rsidR="000F0BD4" w:rsidRPr="00F81B70">
        <w:rPr>
          <w:rFonts w:ascii="Times New Roman" w:hAnsi="Times New Roman" w:cs="Times New Roman"/>
          <w:color w:val="000000" w:themeColor="text1"/>
        </w:rPr>
        <w:instrText>ADDIN CSL_CITATION {"citationItems":[{"id":"ITEM-1","itemData":{"DOI":"10.1073/pnas.1619527114","abstract":"The behavior of C, H, and S in the solid Earth depends on their oxidation states, which are related to oxygen fugacity (fO 2). Volcanic degassing is a source of these elements to Earth's surface; therefore, variations in mantle fO 2 may influence the fO 2 at Earth's surface. However, degassing can impact magmatic fO 2 before or during eruption , potentially obscuring relationships between the fO 2 of the solid Earth and of emitted gases and their impact on surface fO 2. We show that low-pressure degassing resulted in reduction of the fO 2 of Mauna Kea magmas by more than an order of magnitude. The least degassed magmas from Mauna Kea are more oxidized than mido-cean ridge basalt (MORB) magmas, suggesting that the upper mantle sources of Hawaiian magmas have higher fO 2 than MORB sources. One explanation for this difference is recycling of material from the oxidized surface to the deep mantle, which is then returned to the surface as a component of buoyant plumes. It has been proposed that a decreasing pressure of volcanic eruptions led to the oxygen-ation of the atmosphere. Extension of our findings via modeling of degassing trends suggests that a decrease in eruption pressure would not produce this effect. If degassing of basalts were responsible for the rise in oxygen, it requires that Archean magmas had at least two orders of magnitude lower fO 2 than modern magmas. Estimates of fO 2 of Archean magmas are not this low, arguing for alternative explanations for the oxygenation of the atmosphere. ocean island basalts | oxygen fugacity | Hawaii volcanism | volcanic degassing | Great Oxidation Event M odern arc and back-arc basin magmas have higher ratios of Fe 3+ to total Fe (i.e., Fe 3+ /[Fe 3+ +Fe 2+ ], or Fe 3+ /ΣFe), and S 6+ to total S (i.e., S 6+ /[S 6+ +S 2-], or S 6+ /ΣS), than midocean ridge basalt (MORB) magmas (1-7). Based on the known relationships between Fe 3+ /ΣFe, S 6+ /ΣS, oxygen fugacity (fO 2), and melt composition (8, 9) and on recent observations that Fe 3+ /ΣFe of subduction-related magmas are only weakly dependent on factors such as crystal−liquid fractionation and degassing (7, 10, 11), the higher Fe 3+ /ΣFe ratios of arc and back-arc basalts relative to MORBs have been attributed by most authors to elevated fO 2 in their mantle sources resulting from addition of oxidized hydrous fluids or silicate melts from subducted slabs (7, 11, 12). Ocean island basalts (OIBs) are more variable in fO 2 , with Fe 3+ /ΣFe and S 6+ /ΣS ratios th…","author":[{"dropping-particle":"","family":"Brounce","given":"Maryjo N.","non-dropping-particle":"","parse-names":false,"suffix":""},{"dropping-particle":"","family":"Stolper","given":"Edward M.","non-dropping-particle":"","parse-names":false,"suffix":""},{"dropping-particle":"","family":"Eiler","given":"John","non-dropping-particle":"","parse-names":false,"suffix":""}],"container-title":"Proceedings of the National Academy of Sciences of the United States of America","id":"ITEM-1","issued":{"date-parts":[["2017"]]},"title":"Redox variations in Mauna Kea lavas, the oxygen fugacity of the Hawaiian plume, and the role of volcanic gases in Earth's oxygenation","type":"article-journal","volume":"114"},"uris":["http://www.mendeley.com/documents/?uuid=e7030263-489c-33f8-b0f5-7c47c57d4b20"]}],"mendeley":{"formattedCitation":"(Brounce et al., 2017)","manualFormatting":"Brounce et al. (2017)","plainTextFormattedCitation":"(Brounce et al., 2017)","previouslyFormattedCitation":"(Brounce et al., 2017)"},"properties":{"noteIndex":0},"schema":"https://github.com/citation-style-language/schema/raw/master/csl-citation.json"}</w:instrText>
      </w:r>
      <w:r w:rsidRPr="00F81B70">
        <w:rPr>
          <w:rFonts w:ascii="Times New Roman" w:hAnsi="Times New Roman" w:cs="Times New Roman"/>
          <w:i/>
          <w:iCs/>
          <w:color w:val="000000" w:themeColor="text1"/>
        </w:rPr>
        <w:fldChar w:fldCharType="separate"/>
      </w:r>
      <w:r w:rsidRPr="00F81B70">
        <w:rPr>
          <w:rFonts w:ascii="Times New Roman" w:hAnsi="Times New Roman" w:cs="Times New Roman"/>
          <w:noProof/>
          <w:color w:val="000000" w:themeColor="text1"/>
        </w:rPr>
        <w:t>Brounce et al. (2017)</w:t>
      </w:r>
      <w:r w:rsidRPr="00F81B70">
        <w:rPr>
          <w:rFonts w:ascii="Times New Roman" w:hAnsi="Times New Roman" w:cs="Times New Roman"/>
          <w:i/>
          <w:iCs/>
          <w:color w:val="000000" w:themeColor="text1"/>
        </w:rPr>
        <w:fldChar w:fldCharType="end"/>
      </w:r>
      <w:r w:rsidRPr="00F81B70">
        <w:rPr>
          <w:rFonts w:ascii="Times New Roman" w:hAnsi="Times New Roman" w:cs="Times New Roman"/>
          <w:i/>
          <w:iCs/>
          <w:color w:val="000000" w:themeColor="text1"/>
        </w:rPr>
        <w:t xml:space="preserve">. </w:t>
      </w:r>
      <w:r w:rsidRPr="00F81B70">
        <w:rPr>
          <w:rFonts w:ascii="Times New Roman" w:hAnsi="Times New Roman" w:cs="Times New Roman"/>
        </w:rPr>
        <w:t xml:space="preserve">All concentrations in </w:t>
      </w:r>
      <w:proofErr w:type="spellStart"/>
      <w:r w:rsidRPr="00F81B70">
        <w:rPr>
          <w:rFonts w:ascii="Times New Roman" w:hAnsi="Times New Roman" w:cs="Times New Roman"/>
        </w:rPr>
        <w:t>wt</w:t>
      </w:r>
      <w:proofErr w:type="spellEnd"/>
      <w:r w:rsidRPr="00F81B70">
        <w:rPr>
          <w:rFonts w:ascii="Times New Roman" w:hAnsi="Times New Roman" w:cs="Times New Roman"/>
        </w:rPr>
        <w:t xml:space="preserve">% and </w:t>
      </w:r>
      <w:proofErr w:type="spellStart"/>
      <w:r w:rsidRPr="00F81B70">
        <w:rPr>
          <w:rFonts w:ascii="Times New Roman" w:hAnsi="Times New Roman" w:cs="Times New Roman"/>
        </w:rPr>
        <w:t>FeO</w:t>
      </w:r>
      <w:r w:rsidRPr="00F81B70">
        <w:rPr>
          <w:rFonts w:ascii="Times New Roman" w:hAnsi="Times New Roman" w:cs="Times New Roman"/>
          <w:vertAlign w:val="subscript"/>
        </w:rPr>
        <w:t>T</w:t>
      </w:r>
      <w:proofErr w:type="spellEnd"/>
      <w:r w:rsidRPr="00F81B70">
        <w:rPr>
          <w:rFonts w:ascii="Times New Roman" w:hAnsi="Times New Roman" w:cs="Times New Roman"/>
        </w:rPr>
        <w:t xml:space="preserve"> is all Fe as </w:t>
      </w:r>
      <w:proofErr w:type="spellStart"/>
      <w:r w:rsidRPr="00F81B70">
        <w:rPr>
          <w:rFonts w:ascii="Times New Roman" w:hAnsi="Times New Roman" w:cs="Times New Roman"/>
        </w:rPr>
        <w:t>FeO</w:t>
      </w:r>
      <w:proofErr w:type="spellEnd"/>
      <w:r w:rsidRPr="00F81B70">
        <w:rPr>
          <w:rFonts w:ascii="Times New Roman" w:hAnsi="Times New Roman" w:cs="Times New Roman"/>
        </w:rPr>
        <w:t>.</w:t>
      </w:r>
    </w:p>
    <w:p w14:paraId="79DB4F90" w14:textId="74666F08" w:rsidR="00D077C8" w:rsidRDefault="00D077C8" w:rsidP="00D077C8"/>
    <w:p w14:paraId="18BE6A9D" w14:textId="77777777" w:rsidR="002A3F34" w:rsidRDefault="002A3F34" w:rsidP="00D077C8"/>
    <w:p w14:paraId="3F9BE857" w14:textId="118AB373" w:rsidR="00C973DE" w:rsidRPr="00D077C8" w:rsidRDefault="00C973DE" w:rsidP="00D077C8">
      <w:pPr>
        <w:pStyle w:val="Heading1"/>
      </w:pPr>
      <w:r>
        <w:t>Thermodynamic framework and parameters</w:t>
      </w:r>
    </w:p>
    <w:p w14:paraId="2810F9D4" w14:textId="61C7A17D" w:rsidR="00416F60" w:rsidRDefault="00416F60" w:rsidP="00416F60">
      <w:pPr>
        <w:pStyle w:val="Heading2"/>
      </w:pPr>
      <w:r>
        <w:t>Vapor</w:t>
      </w:r>
    </w:p>
    <w:p w14:paraId="32266053" w14:textId="6C845034" w:rsidR="00B95A33" w:rsidRPr="00C62730" w:rsidRDefault="00416F60" w:rsidP="0022237F">
      <w:pPr>
        <w:spacing w:after="240"/>
        <w:ind w:firstLine="720"/>
        <w:jc w:val="both"/>
        <w:rPr>
          <w:rFonts w:ascii="Times New Roman" w:hAnsi="Times New Roman" w:cs="Times New Roman"/>
          <w:color w:val="FF0000"/>
        </w:rPr>
      </w:pPr>
      <w:r w:rsidRPr="00087E0D">
        <w:rPr>
          <w:rFonts w:ascii="Times New Roman" w:hAnsi="Times New Roman" w:cs="Times New Roman"/>
        </w:rPr>
        <w:t>We approximate the vapor as an ideal mixture of non-ideal gases (i.e., the Lewis-Randall rule): i.e., each</w:t>
      </w:r>
      <w:r w:rsidR="00C973DE">
        <w:rPr>
          <w:rFonts w:ascii="Times New Roman" w:hAnsi="Times New Roman" w:cs="Times New Roman"/>
        </w:rPr>
        <w:t xml:space="preserve"> </w:t>
      </w:r>
      <w:proofErr w:type="spellStart"/>
      <w:r w:rsidR="00C973DE" w:rsidRPr="00CC0D73">
        <w:rPr>
          <w:rFonts w:ascii="Times New Roman" w:hAnsi="Times New Roman" w:cs="Times New Roman"/>
        </w:rPr>
        <w:t>γ</w:t>
      </w:r>
      <w:r w:rsidR="00EC0637" w:rsidRPr="00EC0637">
        <w:rPr>
          <w:rFonts w:ascii="Times New Roman" w:hAnsi="Times New Roman" w:cs="Times New Roman"/>
          <w:i/>
          <w:iCs/>
          <w:vertAlign w:val="superscript"/>
        </w:rPr>
        <w:t>v</w:t>
      </w:r>
      <w:r w:rsidR="00C973DE" w:rsidRPr="00CC0D73">
        <w:rPr>
          <w:rFonts w:ascii="Times New Roman" w:hAnsi="Times New Roman" w:cs="Times New Roman"/>
          <w:i/>
          <w:iCs/>
          <w:vertAlign w:val="subscript"/>
        </w:rPr>
        <w:t>i</w:t>
      </w:r>
      <w:proofErr w:type="spellEnd"/>
      <w:r w:rsidRPr="00087E0D">
        <w:rPr>
          <w:rFonts w:ascii="Times New Roman" w:hAnsi="Times New Roman" w:cs="Times New Roman"/>
        </w:rPr>
        <w:t xml:space="preserve">, although dependent on </w:t>
      </w:r>
      <w:r w:rsidRPr="00087E0D">
        <w:rPr>
          <w:rFonts w:ascii="Times New Roman" w:hAnsi="Times New Roman" w:cs="Times New Roman"/>
          <w:i/>
          <w:iCs/>
        </w:rPr>
        <w:t>P</w:t>
      </w:r>
      <w:r w:rsidRPr="00087E0D">
        <w:rPr>
          <w:rFonts w:ascii="Times New Roman" w:hAnsi="Times New Roman" w:cs="Times New Roman"/>
        </w:rPr>
        <w:t xml:space="preserve"> and </w:t>
      </w:r>
      <w:r w:rsidRPr="00087E0D">
        <w:rPr>
          <w:rFonts w:ascii="Times New Roman" w:hAnsi="Times New Roman" w:cs="Times New Roman"/>
          <w:i/>
          <w:iCs/>
        </w:rPr>
        <w:t>T</w:t>
      </w:r>
      <w:r w:rsidRPr="00087E0D">
        <w:rPr>
          <w:rFonts w:ascii="Times New Roman" w:hAnsi="Times New Roman" w:cs="Times New Roman"/>
        </w:rPr>
        <w:t xml:space="preserve">, does not depend on the bulk composition of the </w:t>
      </w:r>
      <w:r w:rsidR="00E57851" w:rsidRPr="00087E0D">
        <w:rPr>
          <w:rFonts w:ascii="Times New Roman" w:hAnsi="Times New Roman" w:cs="Times New Roman"/>
        </w:rPr>
        <w:t>vapor</w:t>
      </w:r>
      <w:r w:rsidRPr="00087E0D">
        <w:rPr>
          <w:rFonts w:ascii="Times New Roman" w:hAnsi="Times New Roman" w:cs="Times New Roman"/>
        </w:rPr>
        <w:t xml:space="preserve">. Fugacity coefficients of the pure </w:t>
      </w:r>
      <w:r w:rsidR="00087E0D" w:rsidRPr="00087E0D">
        <w:rPr>
          <w:rFonts w:ascii="Times New Roman" w:hAnsi="Times New Roman" w:cs="Times New Roman"/>
        </w:rPr>
        <w:t>vapor</w:t>
      </w:r>
      <w:r w:rsidRPr="00087E0D">
        <w:rPr>
          <w:rFonts w:ascii="Times New Roman" w:hAnsi="Times New Roman" w:cs="Times New Roman"/>
        </w:rPr>
        <w:t xml:space="preserve"> species are calculated from</w:t>
      </w:r>
      <w:r w:rsidR="00BA5CF4">
        <w:rPr>
          <w:rFonts w:ascii="Times New Roman" w:hAnsi="Times New Roman" w:cs="Times New Roman"/>
        </w:rPr>
        <w:t xml:space="preserve"> </w:t>
      </w:r>
      <w:r w:rsidR="00BA5CF4">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{"citationItems":[{"id":"ITEM-1","itemData":{"DOI":"10.1007/BF00306484","ISSN":"1432-0967","abstract":"We present a simple virial-type extension to the modified Redlich-Kwong (MRK) equation for calculation of the volumes and fugacities of H2O and CO2 over the pressure range 0.001–50 kbar and 100 to 1400°C (H2O) and 100 to 1600°C (CO2). This extension has been designed to: (a) compensate for the tendency of the MRK equation to overestimate volumes at high pressures, and (b) accommodate the volume behaviour of coexisting gas and liquid phases along the saturation curve. The equation developed for CO2 may be used to derive volumes and fugacities of CO, H2, CH4, N2, O2 and other gases which conform to the corresponding states principle. For H2O the measured volumes of Burnham et al. are significantly higher in the range 4–10 kbar than those presented by other workers. For CO2 the volume behaviour at high pressures derived from published MRK equations are very different (larger volumes, steeper (∂P/∂T)V, and hence larger fugacities) from the virial-type equations of Saxena and Fei. Our CORK equation for CO2 yields fugacities which are in closer agreement with the available high pressure experimental decarbonation reactions.","author":[{"dropping-particle":"","family":"Holland","given":"Tim","non-dropping-particle":"","parse-names":false,"suffix":""},{"dropping-particle":"","family":"Powell","given":"Roger","non-dropping-particle":"","parse-names":false,"suffix":""}],"container-title":"Contributions to Mineralogy and Petrology 1991 109:2","id":"ITEM-1","issue":"2","issued":{"date-parts":[["1991","12"]]},"page":"265-273","publisher":"Springer","title":"A Compensated-Redlich-Kwong (CORK) equation for volumes and fugacities of CO2 and H2O in the range 1 bar to 50 kbar and 100–1600°C","type":"article-journal","volume":"109"},"uris":["http://www.mendeley.com/documents/?uuid=db805e02-f935-3a49-a23c-602687bb9447"]}],"mendeley":{"formattedCitation":"(Holland and Powell, 1991)","manualFormatting":"Holland and Powell (1991)","plainTextFormattedCitation":"(Holland and Powell, 1991)","previouslyFormattedCitation":"(Holland and Powell, 1991)"},"properties":{"noteIndex":0},"schema":"https://github.com/citation-style-language/schema/raw/master/csl-citation.json"}</w:instrText>
      </w:r>
      <w:r w:rsidR="00BA5CF4">
        <w:rPr>
          <w:rFonts w:ascii="Times New Roman" w:hAnsi="Times New Roman" w:cs="Times New Roman"/>
        </w:rPr>
        <w:fldChar w:fldCharType="separate"/>
      </w:r>
      <w:r w:rsidR="00BA5CF4" w:rsidRPr="00BA5CF4">
        <w:rPr>
          <w:rFonts w:ascii="Times New Roman" w:hAnsi="Times New Roman" w:cs="Times New Roman"/>
          <w:noProof/>
        </w:rPr>
        <w:t xml:space="preserve">Holland and Powell </w:t>
      </w:r>
      <w:r w:rsidR="00BA5CF4">
        <w:rPr>
          <w:rFonts w:ascii="Times New Roman" w:hAnsi="Times New Roman" w:cs="Times New Roman"/>
          <w:noProof/>
        </w:rPr>
        <w:t>(</w:t>
      </w:r>
      <w:r w:rsidR="00BA5CF4" w:rsidRPr="00BA5CF4">
        <w:rPr>
          <w:rFonts w:ascii="Times New Roman" w:hAnsi="Times New Roman" w:cs="Times New Roman"/>
          <w:noProof/>
        </w:rPr>
        <w:t>1991)</w:t>
      </w:r>
      <w:r w:rsidR="00BA5CF4">
        <w:rPr>
          <w:rFonts w:ascii="Times New Roman" w:hAnsi="Times New Roman" w:cs="Times New Roman"/>
        </w:rPr>
        <w:fldChar w:fldCharType="end"/>
      </w:r>
      <w:r w:rsidRPr="00087E0D">
        <w:rPr>
          <w:rFonts w:ascii="Times New Roman" w:hAnsi="Times New Roman" w:cs="Times New Roman"/>
        </w:rPr>
        <w:t xml:space="preserve"> for H</w:t>
      </w:r>
      <w:r w:rsidRPr="00087E0D">
        <w:rPr>
          <w:rFonts w:ascii="Times New Roman" w:hAnsi="Times New Roman" w:cs="Times New Roman"/>
          <w:vertAlign w:val="subscript"/>
        </w:rPr>
        <w:t>2</w:t>
      </w:r>
      <w:r w:rsidRPr="00087E0D">
        <w:rPr>
          <w:rFonts w:ascii="Times New Roman" w:hAnsi="Times New Roman" w:cs="Times New Roman"/>
        </w:rPr>
        <w:t>O;</w:t>
      </w:r>
      <w:r w:rsidR="00BA5CF4">
        <w:rPr>
          <w:rFonts w:ascii="Times New Roman" w:hAnsi="Times New Roman" w:cs="Times New Roman"/>
        </w:rPr>
        <w:t xml:space="preserve"> </w:t>
      </w:r>
      <w:r w:rsidR="003B101C" w:rsidRPr="0052454E">
        <w:rPr>
          <w:rFonts w:ascii="Times New Roman" w:hAnsi="Times New Roman" w:cs="Times New Roman"/>
        </w:rPr>
        <w:fldChar w:fldCharType="begin" w:fldLock="1"/>
      </w:r>
      <w:r w:rsidR="000F0BD4" w:rsidRPr="0052454E">
        <w:rPr>
          <w:rFonts w:ascii="Times New Roman" w:hAnsi="Times New Roman" w:cs="Times New Roman"/>
          <w:shd w:val="clear" w:color="auto" w:fill="FFFF00"/>
        </w:rPr>
        <w:instrText>ADDIN CSL_CITATION {"citationItems":[{"id":"ITEM-1","itemData":{"DOI":"10.2475/AJS.262.7.918","ISSN":"0002-9599","abstract":"An empirical equation of state is derived for hydrogen gas which permits computations of fugacity coefficients with reasonable confidence over a wide range of temperatures and pressures. Comparisons are given between fugacity coefficients from the tables and from graphical integration of P-V-T data, as well as comparisons with some previously published results. The tabulated values faithfully reproduce the trends shown by experimental data.","author":[{"dropping-particle":"","family":"Shaw","given":"Herbert R.","non-dropping-particle":"","parse-names":false,"suffix":""},{"dropping-particle":"","family":"Wones","given":"David R.","non-dropping-particle":"","parse-names":false,"suffix":""}],"container-title":"American Journal of Science","id":"ITEM-1","issue":"7","issued":{"date-parts":[["1964","9","1"]]},"page":"918-929","publisher":"American Journal of Science","title":"Fugacity coefficients for hydrogen gas between 0 degrees and 1000 degrees C, for pressures to 3000 atm","type":"article-journal","volume":"262"},"uris":["http://www.mendeley.com/documents/?uuid=5634fd93-831d-3da7-b469-81a8f98d4d94"]}],"mendeley":{"formattedCitation":"(Shaw and Wones, 1964)","manualFormatting":"Shaw and Wones (1964)","plainTextFormattedCitation":"(Shaw and Wones, 1964)","previouslyFormattedCitation":"(Shaw and Wones, 1964)"},"properties":{"noteIndex":0},"schema":"https://github.com/citation-style-language/schema/raw/master/csl-citation.json"}</w:instrText>
      </w:r>
      <w:r w:rsidR="003B101C" w:rsidRPr="0052454E">
        <w:rPr>
          <w:rFonts w:ascii="Times New Roman" w:hAnsi="Times New Roman" w:cs="Times New Roman"/>
        </w:rPr>
        <w:fldChar w:fldCharType="separate"/>
      </w:r>
      <w:r w:rsidR="003B101C" w:rsidRPr="0052454E">
        <w:rPr>
          <w:rFonts w:ascii="Times New Roman" w:hAnsi="Times New Roman" w:cs="Times New Roman"/>
          <w:noProof/>
        </w:rPr>
        <w:t>Shaw and Wones (1964)</w:t>
      </w:r>
      <w:r w:rsidR="003B101C" w:rsidRPr="0052454E">
        <w:rPr>
          <w:rFonts w:ascii="Times New Roman" w:hAnsi="Times New Roman" w:cs="Times New Roman"/>
        </w:rPr>
        <w:fldChar w:fldCharType="end"/>
      </w:r>
      <w:r w:rsidRPr="0052454E">
        <w:rPr>
          <w:rFonts w:ascii="Times New Roman" w:hAnsi="Times New Roman" w:cs="Times New Roman"/>
        </w:rPr>
        <w:t xml:space="preserve"> for H</w:t>
      </w:r>
      <w:r w:rsidRPr="0052454E">
        <w:rPr>
          <w:rFonts w:ascii="Times New Roman" w:hAnsi="Times New Roman" w:cs="Times New Roman"/>
          <w:vertAlign w:val="subscript"/>
        </w:rPr>
        <w:t>2</w:t>
      </w:r>
      <w:r w:rsidRPr="00087E0D">
        <w:rPr>
          <w:rFonts w:ascii="Times New Roman" w:hAnsi="Times New Roman" w:cs="Times New Roman"/>
        </w:rPr>
        <w:t>; and</w:t>
      </w:r>
      <w:r w:rsidR="003B101C">
        <w:rPr>
          <w:rFonts w:ascii="Times New Roman" w:hAnsi="Times New Roman" w:cs="Times New Roman"/>
        </w:rPr>
        <w:t xml:space="preserve"> </w:t>
      </w:r>
      <w:r w:rsidR="003B101C">
        <w:rPr>
          <w:rFonts w:ascii="Times New Roman" w:hAnsi="Times New Roman" w:cs="Times New Roman"/>
        </w:rPr>
        <w:fldChar w:fldCharType="begin" w:fldLock="1"/>
      </w:r>
      <w:r w:rsidR="000F0BD4">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3B101C">
        <w:rPr>
          <w:rFonts w:ascii="Times New Roman" w:hAnsi="Times New Roman" w:cs="Times New Roman"/>
        </w:rPr>
        <w:fldChar w:fldCharType="separate"/>
      </w:r>
      <w:r w:rsidR="003B101C" w:rsidRPr="003B101C">
        <w:rPr>
          <w:rFonts w:ascii="Times New Roman" w:hAnsi="Times New Roman" w:cs="Times New Roman"/>
          <w:noProof/>
        </w:rPr>
        <w:t xml:space="preserve">Shi and Saxena </w:t>
      </w:r>
      <w:r w:rsidR="003B101C">
        <w:rPr>
          <w:rFonts w:ascii="Times New Roman" w:hAnsi="Times New Roman" w:cs="Times New Roman"/>
          <w:noProof/>
        </w:rPr>
        <w:t>(</w:t>
      </w:r>
      <w:r w:rsidR="003B101C" w:rsidRPr="003B101C">
        <w:rPr>
          <w:rFonts w:ascii="Times New Roman" w:hAnsi="Times New Roman" w:cs="Times New Roman"/>
          <w:noProof/>
        </w:rPr>
        <w:t>1992)</w:t>
      </w:r>
      <w:r w:rsidR="003B101C">
        <w:rPr>
          <w:rFonts w:ascii="Times New Roman" w:hAnsi="Times New Roman" w:cs="Times New Roman"/>
        </w:rPr>
        <w:fldChar w:fldCharType="end"/>
      </w:r>
      <w:r w:rsidRPr="00087E0D">
        <w:rPr>
          <w:rFonts w:ascii="Times New Roman" w:hAnsi="Times New Roman" w:cs="Times New Roman"/>
        </w:rPr>
        <w:t xml:space="preserve"> for O</w:t>
      </w:r>
      <w:r w:rsidRPr="00087E0D">
        <w:rPr>
          <w:rFonts w:ascii="Times New Roman" w:hAnsi="Times New Roman" w:cs="Times New Roman"/>
          <w:vertAlign w:val="subscript"/>
        </w:rPr>
        <w:t>2</w:t>
      </w:r>
      <w:r w:rsidRPr="00087E0D">
        <w:rPr>
          <w:rFonts w:ascii="Times New Roman" w:hAnsi="Times New Roman" w:cs="Times New Roman"/>
        </w:rPr>
        <w:t>, CO, CH</w:t>
      </w:r>
      <w:r w:rsidRPr="00087E0D">
        <w:rPr>
          <w:rFonts w:ascii="Times New Roman" w:hAnsi="Times New Roman" w:cs="Times New Roman"/>
          <w:vertAlign w:val="subscript"/>
        </w:rPr>
        <w:t>4</w:t>
      </w:r>
      <w:r w:rsidRPr="00087E0D">
        <w:rPr>
          <w:rFonts w:ascii="Times New Roman" w:hAnsi="Times New Roman" w:cs="Times New Roman"/>
        </w:rPr>
        <w:t>, S</w:t>
      </w:r>
      <w:r w:rsidRPr="00087E0D">
        <w:rPr>
          <w:rFonts w:ascii="Times New Roman" w:hAnsi="Times New Roman" w:cs="Times New Roman"/>
          <w:vertAlign w:val="subscript"/>
        </w:rPr>
        <w:t>2</w:t>
      </w:r>
      <w:r w:rsidRPr="00087E0D">
        <w:rPr>
          <w:rFonts w:ascii="Times New Roman" w:hAnsi="Times New Roman" w:cs="Times New Roman"/>
        </w:rPr>
        <w:t xml:space="preserve">, OCS, </w:t>
      </w:r>
      <w:r w:rsidR="004876F7" w:rsidRPr="00087E0D">
        <w:rPr>
          <w:rFonts w:ascii="Times New Roman" w:hAnsi="Times New Roman" w:cs="Times New Roman"/>
        </w:rPr>
        <w:t xml:space="preserve">and </w:t>
      </w:r>
      <w:r w:rsidRPr="00087E0D">
        <w:rPr>
          <w:rFonts w:ascii="Times New Roman" w:hAnsi="Times New Roman" w:cs="Times New Roman"/>
        </w:rPr>
        <w:t>CO</w:t>
      </w:r>
      <w:r w:rsidRPr="00087E0D">
        <w:rPr>
          <w:rFonts w:ascii="Times New Roman" w:hAnsi="Times New Roman" w:cs="Times New Roman"/>
          <w:vertAlign w:val="subscript"/>
        </w:rPr>
        <w:t>2</w:t>
      </w:r>
      <w:r w:rsidRPr="00087E0D">
        <w:rPr>
          <w:rFonts w:ascii="Times New Roman" w:hAnsi="Times New Roman" w:cs="Times New Roman"/>
        </w:rPr>
        <w:t xml:space="preserve">. </w:t>
      </w:r>
      <w:r w:rsidR="00B95A33" w:rsidRPr="00087E0D">
        <w:rPr>
          <w:rFonts w:ascii="Times New Roman" w:hAnsi="Times New Roman" w:cs="Times New Roman"/>
        </w:rPr>
        <w:t>W</w:t>
      </w:r>
      <w:r w:rsidR="004876F7" w:rsidRPr="00087E0D">
        <w:rPr>
          <w:rFonts w:ascii="Times New Roman" w:hAnsi="Times New Roman" w:cs="Times New Roman"/>
        </w:rPr>
        <w:t xml:space="preserve">e </w:t>
      </w:r>
      <w:r w:rsidR="00B95A33" w:rsidRPr="00087E0D">
        <w:rPr>
          <w:rFonts w:ascii="Times New Roman" w:hAnsi="Times New Roman" w:cs="Times New Roman"/>
        </w:rPr>
        <w:t xml:space="preserve">used the modified fugacity coefficient by </w:t>
      </w:r>
      <w:r w:rsidR="003B101C">
        <w:rPr>
          <w:rFonts w:ascii="Times New Roman" w:hAnsi="Times New Roman" w:cs="Times New Roman"/>
        </w:rPr>
        <w:fldChar w:fldCharType="begin" w:fldLock="1"/>
      </w:r>
      <w:r w:rsidR="003910EA">
        <w:rPr>
          <w:rFonts w:ascii="Times New Roman" w:hAnsi="Times New Roman" w:cs="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3B101C">
        <w:rPr>
          <w:rFonts w:ascii="Times New Roman" w:hAnsi="Times New Roman" w:cs="Times New Roman"/>
        </w:rPr>
        <w:fldChar w:fldCharType="separate"/>
      </w:r>
      <w:r w:rsidR="0028588E" w:rsidRPr="0028588E">
        <w:rPr>
          <w:rFonts w:ascii="Times New Roman" w:hAnsi="Times New Roman" w:cs="Times New Roman"/>
          <w:noProof/>
        </w:rPr>
        <w:t xml:space="preserve">Hughes et al. </w:t>
      </w:r>
      <w:r w:rsidR="0028588E">
        <w:rPr>
          <w:rFonts w:ascii="Times New Roman" w:hAnsi="Times New Roman" w:cs="Times New Roman"/>
          <w:noProof/>
        </w:rPr>
        <w:t>(</w:t>
      </w:r>
      <w:r w:rsidR="0028588E" w:rsidRPr="0028588E">
        <w:rPr>
          <w:rFonts w:ascii="Times New Roman" w:hAnsi="Times New Roman" w:cs="Times New Roman"/>
          <w:noProof/>
        </w:rPr>
        <w:t>2023)</w:t>
      </w:r>
      <w:r w:rsidR="003B101C">
        <w:rPr>
          <w:rFonts w:ascii="Times New Roman" w:hAnsi="Times New Roman" w:cs="Times New Roman"/>
        </w:rPr>
        <w:fldChar w:fldCharType="end"/>
      </w:r>
      <w:r w:rsidR="003B101C">
        <w:rPr>
          <w:rFonts w:ascii="Times New Roman" w:hAnsi="Times New Roman" w:cs="Times New Roman"/>
        </w:rPr>
        <w:t xml:space="preserve"> </w:t>
      </w:r>
      <w:r w:rsidR="00B95A33" w:rsidRPr="00087E0D">
        <w:rPr>
          <w:rFonts w:ascii="Times New Roman" w:hAnsi="Times New Roman" w:cs="Times New Roman"/>
        </w:rPr>
        <w:t>for SO</w:t>
      </w:r>
      <w:r w:rsidR="00B95A33" w:rsidRPr="00087E0D">
        <w:rPr>
          <w:rFonts w:ascii="Times New Roman" w:hAnsi="Times New Roman" w:cs="Times New Roman"/>
          <w:vertAlign w:val="subscript"/>
        </w:rPr>
        <w:t>2</w:t>
      </w:r>
      <w:r w:rsidR="00B95A33" w:rsidRPr="00087E0D">
        <w:rPr>
          <w:rFonts w:ascii="Times New Roman" w:hAnsi="Times New Roman" w:cs="Times New Roman"/>
        </w:rPr>
        <w:t xml:space="preserve"> based on </w:t>
      </w:r>
      <w:r w:rsidR="003B101C">
        <w:rPr>
          <w:rFonts w:ascii="Times New Roman" w:hAnsi="Times New Roman" w:cs="Times New Roman"/>
        </w:rPr>
        <w:fldChar w:fldCharType="begin" w:fldLock="1"/>
      </w:r>
      <w:r w:rsidR="000F0BD4">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3B101C">
        <w:rPr>
          <w:rFonts w:ascii="Times New Roman" w:hAnsi="Times New Roman" w:cs="Times New Roman"/>
        </w:rPr>
        <w:fldChar w:fldCharType="separate"/>
      </w:r>
      <w:r w:rsidR="003B101C" w:rsidRPr="003B101C">
        <w:rPr>
          <w:rFonts w:ascii="Times New Roman" w:hAnsi="Times New Roman" w:cs="Times New Roman"/>
          <w:noProof/>
        </w:rPr>
        <w:t xml:space="preserve">Shi and Saxena </w:t>
      </w:r>
      <w:r w:rsidR="003B101C">
        <w:rPr>
          <w:rFonts w:ascii="Times New Roman" w:hAnsi="Times New Roman" w:cs="Times New Roman"/>
          <w:noProof/>
        </w:rPr>
        <w:t>(</w:t>
      </w:r>
      <w:r w:rsidR="003B101C" w:rsidRPr="003B101C">
        <w:rPr>
          <w:rFonts w:ascii="Times New Roman" w:hAnsi="Times New Roman" w:cs="Times New Roman"/>
          <w:noProof/>
        </w:rPr>
        <w:t>1992)</w:t>
      </w:r>
      <w:r w:rsidR="003B101C">
        <w:rPr>
          <w:rFonts w:ascii="Times New Roman" w:hAnsi="Times New Roman" w:cs="Times New Roman"/>
        </w:rPr>
        <w:fldChar w:fldCharType="end"/>
      </w:r>
      <w:r w:rsidR="003B101C" w:rsidRPr="00087E0D">
        <w:rPr>
          <w:rFonts w:ascii="Times New Roman" w:hAnsi="Times New Roman" w:cs="Times New Roman"/>
        </w:rPr>
        <w:t xml:space="preserve"> </w:t>
      </w:r>
      <w:r w:rsidR="00B95A33" w:rsidRPr="00087E0D">
        <w:rPr>
          <w:rFonts w:ascii="Times New Roman" w:hAnsi="Times New Roman" w:cs="Times New Roman"/>
        </w:rPr>
        <w:t>(</w:t>
      </w:r>
      <w:r w:rsidR="00B95A33" w:rsidRPr="00087E0D">
        <w:rPr>
          <w:rFonts w:ascii="Times New Roman" w:hAnsi="Times New Roman" w:cs="Times New Roman"/>
        </w:rPr>
        <w:fldChar w:fldCharType="begin"/>
      </w:r>
      <w:r w:rsidR="00B95A33" w:rsidRPr="00087E0D">
        <w:rPr>
          <w:rFonts w:ascii="Times New Roman" w:hAnsi="Times New Roman" w:cs="Times New Roman"/>
        </w:rPr>
        <w:instrText xml:space="preserve"> REF _Ref83673148 \h  \* MERGEFORMAT </w:instrText>
      </w:r>
      <w:r w:rsidR="00B95A33" w:rsidRPr="00087E0D">
        <w:rPr>
          <w:rFonts w:ascii="Times New Roman" w:hAnsi="Times New Roman" w:cs="Times New Roman"/>
        </w:rPr>
      </w:r>
      <w:r w:rsidR="00B95A33" w:rsidRPr="00087E0D">
        <w:rPr>
          <w:rFonts w:ascii="Times New Roman" w:hAnsi="Times New Roman" w:cs="Times New Roman"/>
        </w:rPr>
        <w:fldChar w:fldCharType="separate"/>
      </w:r>
      <w:r w:rsidR="00336EFB" w:rsidRPr="00087E0D">
        <w:rPr>
          <w:rFonts w:ascii="Times New Roman" w:hAnsi="Times New Roman" w:cs="Times New Roman"/>
          <w:color w:val="000000" w:themeColor="text1"/>
        </w:rPr>
        <w:t>Figure S1</w:t>
      </w:r>
      <w:r w:rsidR="00B95A33" w:rsidRPr="00087E0D">
        <w:rPr>
          <w:rFonts w:ascii="Times New Roman" w:hAnsi="Times New Roman" w:cs="Times New Roman"/>
        </w:rPr>
        <w:fldChar w:fldCharType="end"/>
      </w:r>
      <w:r w:rsidR="00B95A33" w:rsidRPr="00087E0D">
        <w:rPr>
          <w:rFonts w:ascii="Times New Roman" w:hAnsi="Times New Roman" w:cs="Times New Roman"/>
        </w:rPr>
        <w:t xml:space="preserve">). Using </w:t>
      </w:r>
      <w:r w:rsidR="003B101C">
        <w:rPr>
          <w:rFonts w:ascii="Times New Roman" w:hAnsi="Times New Roman" w:cs="Times New Roman"/>
        </w:rPr>
        <w:fldChar w:fldCharType="begin" w:fldLock="1"/>
      </w:r>
      <w:r w:rsidR="000F0BD4">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3B101C">
        <w:rPr>
          <w:rFonts w:ascii="Times New Roman" w:hAnsi="Times New Roman" w:cs="Times New Roman"/>
        </w:rPr>
        <w:fldChar w:fldCharType="separate"/>
      </w:r>
      <w:r w:rsidR="003B101C" w:rsidRPr="003B101C">
        <w:rPr>
          <w:rFonts w:ascii="Times New Roman" w:hAnsi="Times New Roman" w:cs="Times New Roman"/>
          <w:noProof/>
        </w:rPr>
        <w:t xml:space="preserve">Shi and Saxena </w:t>
      </w:r>
      <w:r w:rsidR="003B101C">
        <w:rPr>
          <w:rFonts w:ascii="Times New Roman" w:hAnsi="Times New Roman" w:cs="Times New Roman"/>
          <w:noProof/>
        </w:rPr>
        <w:t>(</w:t>
      </w:r>
      <w:r w:rsidR="003B101C" w:rsidRPr="003B101C">
        <w:rPr>
          <w:rFonts w:ascii="Times New Roman" w:hAnsi="Times New Roman" w:cs="Times New Roman"/>
          <w:noProof/>
        </w:rPr>
        <w:t>1992)</w:t>
      </w:r>
      <w:r w:rsidR="003B101C">
        <w:rPr>
          <w:rFonts w:ascii="Times New Roman" w:hAnsi="Times New Roman" w:cs="Times New Roman"/>
        </w:rPr>
        <w:fldChar w:fldCharType="end"/>
      </w:r>
      <w:r w:rsidR="00B95A33" w:rsidRPr="00087E0D">
        <w:rPr>
          <w:rFonts w:ascii="Times New Roman" w:hAnsi="Times New Roman" w:cs="Times New Roman"/>
        </w:rPr>
        <w:t>, the fugacity coefficient for H</w:t>
      </w:r>
      <w:r w:rsidR="00B95A33" w:rsidRPr="00087E0D">
        <w:rPr>
          <w:rFonts w:ascii="Times New Roman" w:hAnsi="Times New Roman" w:cs="Times New Roman"/>
          <w:vertAlign w:val="subscript"/>
        </w:rPr>
        <w:t>2</w:t>
      </w:r>
      <w:r w:rsidR="00B95A33" w:rsidRPr="00087E0D">
        <w:rPr>
          <w:rFonts w:ascii="Times New Roman" w:hAnsi="Times New Roman" w:cs="Times New Roman"/>
        </w:rPr>
        <w:t xml:space="preserve">S increases and then sharply decreases with </w:t>
      </w:r>
      <w:r w:rsidR="00B95A33" w:rsidRPr="00087E0D">
        <w:rPr>
          <w:rFonts w:ascii="Times New Roman" w:hAnsi="Times New Roman" w:cs="Times New Roman"/>
        </w:rPr>
        <w:lastRenderedPageBreak/>
        <w:t xml:space="preserve">decreasing </w:t>
      </w:r>
      <w:r w:rsidR="00B95A33" w:rsidRPr="00087E0D">
        <w:rPr>
          <w:rFonts w:ascii="Times New Roman" w:hAnsi="Times New Roman" w:cs="Times New Roman"/>
          <w:i/>
          <w:iCs/>
        </w:rPr>
        <w:t>P</w:t>
      </w:r>
      <w:r w:rsidR="00B95A33" w:rsidRPr="00087E0D">
        <w:rPr>
          <w:rFonts w:ascii="Times New Roman" w:hAnsi="Times New Roman" w:cs="Times New Roman"/>
        </w:rPr>
        <w:t xml:space="preserve"> for </w:t>
      </w:r>
      <w:r w:rsidR="00B95A33" w:rsidRPr="00087E0D">
        <w:rPr>
          <w:rFonts w:ascii="Times New Roman" w:hAnsi="Times New Roman" w:cs="Times New Roman"/>
          <w:i/>
          <w:iCs/>
        </w:rPr>
        <w:t>P</w:t>
      </w:r>
      <w:r w:rsidR="00B95A33" w:rsidRPr="00087E0D">
        <w:rPr>
          <w:rFonts w:ascii="Times New Roman" w:hAnsi="Times New Roman" w:cs="Times New Roman"/>
        </w:rPr>
        <w:t xml:space="preserve"> &lt; 500 bars (</w:t>
      </w:r>
      <w:r w:rsidR="00B95A33" w:rsidRPr="00087E0D">
        <w:rPr>
          <w:rFonts w:ascii="Times New Roman" w:hAnsi="Times New Roman" w:cs="Times New Roman"/>
        </w:rPr>
        <w:fldChar w:fldCharType="begin"/>
      </w:r>
      <w:r w:rsidR="00B95A33" w:rsidRPr="00087E0D">
        <w:rPr>
          <w:rFonts w:ascii="Times New Roman" w:hAnsi="Times New Roman" w:cs="Times New Roman"/>
        </w:rPr>
        <w:instrText xml:space="preserve"> REF _Ref83673148 \h  \* MERGEFORMAT </w:instrText>
      </w:r>
      <w:r w:rsidR="00B95A33" w:rsidRPr="00087E0D">
        <w:rPr>
          <w:rFonts w:ascii="Times New Roman" w:hAnsi="Times New Roman" w:cs="Times New Roman"/>
        </w:rPr>
      </w:r>
      <w:r w:rsidR="00B95A33" w:rsidRPr="00087E0D">
        <w:rPr>
          <w:rFonts w:ascii="Times New Roman" w:hAnsi="Times New Roman" w:cs="Times New Roman"/>
        </w:rPr>
        <w:fldChar w:fldCharType="separate"/>
      </w:r>
      <w:r w:rsidR="00336EFB" w:rsidRPr="00087E0D">
        <w:rPr>
          <w:rFonts w:ascii="Times New Roman" w:hAnsi="Times New Roman" w:cs="Times New Roman"/>
          <w:color w:val="000000" w:themeColor="text1"/>
        </w:rPr>
        <w:t>Figure S1</w:t>
      </w:r>
      <w:r w:rsidR="00B95A33" w:rsidRPr="00087E0D">
        <w:rPr>
          <w:rFonts w:ascii="Times New Roman" w:hAnsi="Times New Roman" w:cs="Times New Roman"/>
        </w:rPr>
        <w:fldChar w:fldCharType="end"/>
      </w:r>
      <w:r w:rsidR="00B95A33" w:rsidRPr="00087E0D">
        <w:rPr>
          <w:rFonts w:ascii="Times New Roman" w:hAnsi="Times New Roman" w:cs="Times New Roman"/>
        </w:rPr>
        <w:t>). Hence, as for SO</w:t>
      </w:r>
      <w:r w:rsidR="00B95A33" w:rsidRPr="00087E0D">
        <w:rPr>
          <w:rFonts w:ascii="Times New Roman" w:hAnsi="Times New Roman" w:cs="Times New Roman"/>
          <w:vertAlign w:val="subscript"/>
        </w:rPr>
        <w:t>2</w:t>
      </w:r>
      <w:r w:rsidR="00B95A33" w:rsidRPr="00087E0D">
        <w:rPr>
          <w:rFonts w:ascii="Times New Roman" w:hAnsi="Times New Roman" w:cs="Times New Roman"/>
        </w:rPr>
        <w:t xml:space="preserve">, we linearly interpolate from 500 bar so that </w:t>
      </w:r>
      <w:r w:rsidR="00EC0637" w:rsidRPr="00CC0D73">
        <w:rPr>
          <w:rFonts w:ascii="Times New Roman" w:hAnsi="Times New Roman" w:cs="Times New Roman"/>
        </w:rPr>
        <w:t>γ</w:t>
      </w:r>
      <w:r w:rsidR="00EC0637" w:rsidRPr="00EC0637">
        <w:rPr>
          <w:rFonts w:ascii="Times New Roman" w:hAnsi="Times New Roman" w:cs="Times New Roman"/>
          <w:i/>
          <w:iCs/>
          <w:vertAlign w:val="superscript"/>
        </w:rPr>
        <w:t>v</w:t>
      </w:r>
      <w:r w:rsidR="00EC0637" w:rsidRPr="00EC0637">
        <w:rPr>
          <w:rFonts w:ascii="Times New Roman" w:hAnsi="Times New Roman" w:cs="Times New Roman"/>
          <w:vertAlign w:val="subscript"/>
        </w:rPr>
        <w:t>H2S</w:t>
      </w:r>
      <w:r w:rsidR="00EC0637">
        <w:rPr>
          <w:rFonts w:ascii="Times New Roman" w:hAnsi="Times New Roman" w:cs="Times New Roman"/>
          <w:i/>
          <w:iCs/>
          <w:vertAlign w:val="superscript"/>
        </w:rPr>
        <w:t xml:space="preserve"> </w:t>
      </w:r>
      <w:r w:rsidR="00B95A33" w:rsidRPr="00087E0D">
        <w:rPr>
          <w:rFonts w:ascii="Times New Roman" w:hAnsi="Times New Roman" w:cs="Times New Roman"/>
        </w:rPr>
        <w:t xml:space="preserve">continuously decreases for 1 &lt; </w:t>
      </w:r>
      <w:r w:rsidR="00B95A33" w:rsidRPr="00087E0D">
        <w:rPr>
          <w:rFonts w:ascii="Times New Roman" w:hAnsi="Times New Roman" w:cs="Times New Roman"/>
          <w:i/>
          <w:iCs/>
        </w:rPr>
        <w:t>P</w:t>
      </w:r>
      <w:r w:rsidR="00B95A33" w:rsidRPr="00087E0D">
        <w:rPr>
          <w:rFonts w:ascii="Times New Roman" w:hAnsi="Times New Roman" w:cs="Times New Roman"/>
        </w:rPr>
        <w:t xml:space="preserve"> &lt; 500 bar and is equal to 1 when </w:t>
      </w:r>
      <w:r w:rsidR="00B95A33" w:rsidRPr="00087E0D">
        <w:rPr>
          <w:rFonts w:ascii="Times New Roman" w:hAnsi="Times New Roman" w:cs="Times New Roman"/>
          <w:i/>
          <w:iCs/>
        </w:rPr>
        <w:t>P</w:t>
      </w:r>
      <w:r w:rsidR="00B95A33" w:rsidRPr="00087E0D">
        <w:rPr>
          <w:rFonts w:ascii="Times New Roman" w:hAnsi="Times New Roman" w:cs="Times New Roman"/>
        </w:rPr>
        <w:t xml:space="preserve"> </w:t>
      </w:r>
      <w:r w:rsidR="00B95A33" w:rsidRPr="00087E0D">
        <w:rPr>
          <w:rFonts w:ascii="Times New Roman" w:hAnsi="Times New Roman" w:cs="Times New Roman"/>
        </w:rPr>
        <w:sym w:font="Symbol" w:char="F0A3"/>
      </w:r>
      <w:r w:rsidR="00B95A33" w:rsidRPr="00087E0D">
        <w:rPr>
          <w:rFonts w:ascii="Times New Roman" w:hAnsi="Times New Roman" w:cs="Times New Roman"/>
        </w:rPr>
        <w:t xml:space="preserve"> 1 bar (</w:t>
      </w:r>
      <w:r w:rsidR="00B95A33" w:rsidRPr="00087E0D">
        <w:rPr>
          <w:rFonts w:ascii="Times New Roman" w:hAnsi="Times New Roman" w:cs="Times New Roman"/>
        </w:rPr>
        <w:fldChar w:fldCharType="begin"/>
      </w:r>
      <w:r w:rsidR="00B95A33" w:rsidRPr="00087E0D">
        <w:rPr>
          <w:rFonts w:ascii="Times New Roman" w:hAnsi="Times New Roman" w:cs="Times New Roman"/>
        </w:rPr>
        <w:instrText xml:space="preserve"> REF _Ref83673148 \h  \* MERGEFORMAT </w:instrText>
      </w:r>
      <w:r w:rsidR="00B95A33" w:rsidRPr="00087E0D">
        <w:rPr>
          <w:rFonts w:ascii="Times New Roman" w:hAnsi="Times New Roman" w:cs="Times New Roman"/>
        </w:rPr>
      </w:r>
      <w:r w:rsidR="00B95A33" w:rsidRPr="00087E0D">
        <w:rPr>
          <w:rFonts w:ascii="Times New Roman" w:hAnsi="Times New Roman" w:cs="Times New Roman"/>
        </w:rPr>
        <w:fldChar w:fldCharType="separate"/>
      </w:r>
      <w:r w:rsidR="00336EFB" w:rsidRPr="00087E0D">
        <w:rPr>
          <w:rFonts w:ascii="Times New Roman" w:hAnsi="Times New Roman" w:cs="Times New Roman"/>
          <w:color w:val="000000" w:themeColor="text1"/>
        </w:rPr>
        <w:t>Figure S1</w:t>
      </w:r>
      <w:r w:rsidR="00B95A33" w:rsidRPr="00087E0D">
        <w:rPr>
          <w:rFonts w:ascii="Times New Roman" w:hAnsi="Times New Roman" w:cs="Times New Roman"/>
        </w:rPr>
        <w:fldChar w:fldCharType="end"/>
      </w:r>
      <w:r w:rsidR="00B95A33" w:rsidRPr="00087E0D">
        <w:rPr>
          <w:rFonts w:ascii="Times New Roman" w:hAnsi="Times New Roman" w:cs="Times New Roman"/>
        </w:rPr>
        <w:t xml:space="preserve">). </w:t>
      </w:r>
      <w:r w:rsidR="00087E0D" w:rsidRPr="00087E0D">
        <w:rPr>
          <w:rFonts w:ascii="Times New Roman" w:hAnsi="Times New Roman" w:cs="Times New Roman"/>
        </w:rPr>
        <w:t xml:space="preserve">Equilibrium constants for the homogeneous vapor equilibria depend only on </w:t>
      </w:r>
      <w:r w:rsidR="00087E0D" w:rsidRPr="00087E0D">
        <w:rPr>
          <w:rFonts w:ascii="Times New Roman" w:hAnsi="Times New Roman" w:cs="Times New Roman"/>
          <w:i/>
          <w:iCs/>
        </w:rPr>
        <w:t>T</w:t>
      </w:r>
      <w:r w:rsidR="00087E0D" w:rsidRPr="00087E0D">
        <w:rPr>
          <w:rFonts w:ascii="Times New Roman" w:hAnsi="Times New Roman" w:cs="Times New Roman"/>
        </w:rPr>
        <w:t xml:space="preserve"> and are taken from</w:t>
      </w:r>
      <w:r w:rsidR="003B101C">
        <w:rPr>
          <w:rFonts w:ascii="Times New Roman" w:hAnsi="Times New Roman" w:cs="Times New Roman"/>
        </w:rPr>
        <w:t xml:space="preserve"> </w:t>
      </w:r>
      <w:r w:rsidR="003B101C">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sidR="003B101C">
        <w:rPr>
          <w:rFonts w:ascii="Times New Roman" w:hAnsi="Times New Roman" w:cs="Times New Roman"/>
        </w:rPr>
        <w:fldChar w:fldCharType="separate"/>
      </w:r>
      <w:r w:rsidR="003B101C" w:rsidRPr="003B101C">
        <w:rPr>
          <w:rFonts w:ascii="Times New Roman" w:hAnsi="Times New Roman" w:cs="Times New Roman"/>
          <w:noProof/>
        </w:rPr>
        <w:t xml:space="preserve">Ohmoto and Kerrick </w:t>
      </w:r>
      <w:r w:rsidR="003B101C">
        <w:rPr>
          <w:rFonts w:ascii="Times New Roman" w:hAnsi="Times New Roman" w:cs="Times New Roman"/>
          <w:noProof/>
        </w:rPr>
        <w:t>(</w:t>
      </w:r>
      <w:r w:rsidR="003B101C" w:rsidRPr="003B101C">
        <w:rPr>
          <w:rFonts w:ascii="Times New Roman" w:hAnsi="Times New Roman" w:cs="Times New Roman"/>
          <w:noProof/>
        </w:rPr>
        <w:t>1977)</w:t>
      </w:r>
      <w:r w:rsidR="003B101C">
        <w:rPr>
          <w:rFonts w:ascii="Times New Roman" w:hAnsi="Times New Roman" w:cs="Times New Roman"/>
        </w:rPr>
        <w:fldChar w:fldCharType="end"/>
      </w:r>
      <w:r w:rsidR="00087E0D" w:rsidRPr="00087E0D">
        <w:rPr>
          <w:rFonts w:ascii="Times New Roman" w:hAnsi="Times New Roman" w:cs="Times New Roman"/>
        </w:rPr>
        <w:t xml:space="preserve"> </w:t>
      </w:r>
      <w:r w:rsidR="00087E0D">
        <w:rPr>
          <w:rFonts w:ascii="Times New Roman" w:hAnsi="Times New Roman" w:cs="Times New Roman"/>
          <w:color w:val="000000" w:themeColor="text1"/>
        </w:rPr>
        <w:t xml:space="preserve">for </w:t>
      </w:r>
      <w:r w:rsidR="00087E0D" w:rsidRPr="00087E0D">
        <w:rPr>
          <w:rFonts w:ascii="Times New Roman" w:hAnsi="Times New Roman" w:cs="Times New Roman"/>
          <w:color w:val="000000" w:themeColor="text1"/>
        </w:rPr>
        <w:t xml:space="preserve">equations </w:t>
      </w:r>
      <w:r w:rsidR="00087E0D">
        <w:rPr>
          <w:rFonts w:ascii="Times New Roman" w:hAnsi="Times New Roman" w:cs="Times New Roman"/>
          <w:color w:val="000000" w:themeColor="text1"/>
        </w:rPr>
        <w:t>(</w:t>
      </w:r>
      <w:r w:rsidR="00087E0D" w:rsidRPr="00087E0D">
        <w:rPr>
          <w:rFonts w:ascii="Times New Roman" w:hAnsi="Times New Roman" w:cs="Times New Roman"/>
          <w:color w:val="000000" w:themeColor="text1"/>
        </w:rPr>
        <w:t>5–9</w:t>
      </w:r>
      <w:r w:rsidR="00087E0D">
        <w:rPr>
          <w:rFonts w:ascii="Times New Roman" w:hAnsi="Times New Roman" w:cs="Times New Roman"/>
          <w:color w:val="000000" w:themeColor="text1"/>
        </w:rPr>
        <w:t>)</w:t>
      </w:r>
      <w:r w:rsidR="00087E0D" w:rsidRPr="00087E0D">
        <w:rPr>
          <w:rFonts w:ascii="Times New Roman" w:hAnsi="Times New Roman" w:cs="Times New Roman"/>
          <w:color w:val="000000" w:themeColor="text1"/>
        </w:rPr>
        <w:t xml:space="preserve"> in the main text</w:t>
      </w:r>
      <w:r w:rsidR="00087E0D">
        <w:rPr>
          <w:rFonts w:ascii="Times New Roman" w:hAnsi="Times New Roman" w:cs="Times New Roman"/>
          <w:color w:val="000000" w:themeColor="text1"/>
        </w:rPr>
        <w:t xml:space="preserve"> (i.e.,</w:t>
      </w:r>
      <w:r w:rsidR="00087E0D" w:rsidRPr="00087E0D">
        <w:rPr>
          <w:rFonts w:ascii="Times New Roman" w:hAnsi="Times New Roman" w:cs="Times New Roman"/>
          <w:color w:val="000000" w:themeColor="text1"/>
        </w:rPr>
        <w:t xml:space="preserve">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H</w:t>
      </w:r>
      <w:r w:rsidR="00087E0D" w:rsidRPr="00087E0D">
        <w:rPr>
          <w:rFonts w:ascii="Times New Roman" w:hAnsi="Times New Roman" w:cs="Times New Roman"/>
          <w:color w:val="000000" w:themeColor="text1"/>
        </w:rPr>
        <w:t xml:space="preserve">,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C</w:t>
      </w:r>
      <w:r w:rsidR="00087E0D" w:rsidRPr="00087E0D">
        <w:rPr>
          <w:rFonts w:ascii="Times New Roman" w:hAnsi="Times New Roman" w:cs="Times New Roman"/>
          <w:color w:val="000000" w:themeColor="text1"/>
        </w:rPr>
        <w:t xml:space="preserve">,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S</w:t>
      </w:r>
      <w:r w:rsidR="00087E0D" w:rsidRPr="00087E0D">
        <w:rPr>
          <w:rFonts w:ascii="Times New Roman" w:hAnsi="Times New Roman" w:cs="Times New Roman"/>
          <w:color w:val="000000" w:themeColor="text1"/>
        </w:rPr>
        <w:t xml:space="preserve">,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CH</w:t>
      </w:r>
      <w:r w:rsidR="00087E0D" w:rsidRPr="00087E0D">
        <w:rPr>
          <w:rFonts w:ascii="Times New Roman" w:hAnsi="Times New Roman" w:cs="Times New Roman"/>
          <w:color w:val="000000" w:themeColor="text1"/>
        </w:rPr>
        <w:t xml:space="preserve">, and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HS</w:t>
      </w:r>
      <w:r w:rsidR="00087E0D" w:rsidRPr="00087E0D">
        <w:rPr>
          <w:rFonts w:ascii="Times New Roman" w:hAnsi="Times New Roman" w:cs="Times New Roman"/>
          <w:color w:val="000000" w:themeColor="text1"/>
        </w:rPr>
        <w:t>)</w:t>
      </w:r>
      <w:r w:rsidR="00087E0D" w:rsidRPr="00087E0D">
        <w:rPr>
          <w:rFonts w:ascii="Times New Roman" w:hAnsi="Times New Roman" w:cs="Times New Roman"/>
          <w:color w:val="4472C4" w:themeColor="accent1"/>
        </w:rPr>
        <w:t xml:space="preserve"> </w:t>
      </w:r>
      <w:r w:rsidR="00087E0D" w:rsidRPr="00087E0D">
        <w:rPr>
          <w:rFonts w:ascii="Times New Roman" w:hAnsi="Times New Roman" w:cs="Times New Roman"/>
          <w:color w:val="000000" w:themeColor="text1"/>
        </w:rPr>
        <w:t>and</w:t>
      </w:r>
      <w:r w:rsidR="00087E0D">
        <w:rPr>
          <w:rFonts w:ascii="Times New Roman" w:hAnsi="Times New Roman" w:cs="Times New Roman"/>
          <w:color w:val="000000" w:themeColor="text1"/>
        </w:rPr>
        <w:t xml:space="preserve"> from</w:t>
      </w:r>
      <w:r w:rsidR="003B101C">
        <w:rPr>
          <w:rFonts w:ascii="Times New Roman" w:hAnsi="Times New Roman" w:cs="Times New Roman"/>
          <w:color w:val="000000" w:themeColor="text1"/>
        </w:rPr>
        <w:t xml:space="preserve"> </w:t>
      </w:r>
      <w:r w:rsidR="003B101C">
        <w:rPr>
          <w:rFonts w:ascii="Times New Roman" w:hAnsi="Times New Roman" w:cs="Times New Roman"/>
          <w:color w:val="000000" w:themeColor="text1"/>
        </w:rPr>
        <w:fldChar w:fldCharType="begin" w:fldLock="1"/>
      </w:r>
      <w:r w:rsidR="000F0BD4">
        <w:rPr>
          <w:rFonts w:ascii="Times New Roman" w:hAnsi="Times New Roman" w:cs="Times New Roman"/>
          <w:color w:val="000000" w:themeColor="text1"/>
        </w:rPr>
        <w:instrText>ADDIN CSL_CITATION {"citationItems":[{"id":"ITEM-1","itemData":{"DOI":"10.1016/J.EPSL.2019.05.036","ISSN":"0012-821X","abstract":"The oxidation state of volcanic gas emissions influences the composition of the exosphere and planetary habitability. It is widely considered to be associated with the oxidation state of the melt from which volatiles exsolve. Here, we present a global synthesis of volcanic gas measurements. We define the mean oxidation state of volcanic gas emissions on Earth today and show that, globally, gas oxidation state, relative to rock buffers, is a strong function of emission temperature, increasing by several orders of magnitude as temperature decreases. The trend is independent of melt composition and geodynamic setting. This observation may explain why the mean oxidation state of volcanic gas emissions on Earth has apparently increased since the Archean, without a corresponding shift in melt oxidation state. We argue that progressive cooling of the mantle and the cessation of komatiite generation should have been accompanied by a substantial increase of the oxidation state of volcanic gases around the onset of the Great Oxidation Event. This may have accelerated or facilitated the transition to an oxygen-rich atmosphere. Overall, our data, along with previous work, show that there are no single nor simple relationships between mantle-, magma- and volcanic gas-redox states.","author":[{"dropping-particle":"","family":"Moussallam","given":"Yves","non-dropping-particle":"","parse-names":false,"suffix":""},{"dropping-particle":"","family":"Oppenheimer","given":"Clive","non-dropping-particle":"","parse-names":false,"suffix":""},{"dropping-particle":"","family":"Scaillet","given":"Bruno","non-dropping-particle":"","parse-names":false,"suffix":""}],"container-title":"Earth and Planetary Science Letters","id":"ITEM-1","issued":{"date-parts":[["2019","8","15"]]},"page":"260-267","publisher":"Elsevier","title":"On the relationship between oxidation state and temperature of volcanic gas emissions","type":"article-journal","volume":"520"},"uris":["http://www.mendeley.com/documents/?uuid=7dc6690e-fa67-3cef-9f52-cb87fca63442"]}],"mendeley":{"formattedCitation":"(Moussallam et al., 2019)","manualFormatting":"Moussallam et al. (2019)","plainTextFormattedCitation":"(Moussallam et al., 2019)","previouslyFormattedCitation":"(Moussallam et al., 2019)"},"properties":{"noteIndex":0},"schema":"https://github.com/citation-style-language/schema/raw/master/csl-citation.json"}</w:instrText>
      </w:r>
      <w:r w:rsidR="003B101C">
        <w:rPr>
          <w:rFonts w:ascii="Times New Roman" w:hAnsi="Times New Roman" w:cs="Times New Roman"/>
          <w:color w:val="000000" w:themeColor="text1"/>
        </w:rPr>
        <w:fldChar w:fldCharType="separate"/>
      </w:r>
      <w:r w:rsidR="000F0BD4" w:rsidRPr="000F0BD4">
        <w:rPr>
          <w:rFonts w:ascii="Times New Roman" w:hAnsi="Times New Roman" w:cs="Times New Roman"/>
          <w:noProof/>
          <w:color w:val="000000" w:themeColor="text1"/>
        </w:rPr>
        <w:t xml:space="preserve">Moussallam et al. </w:t>
      </w:r>
      <w:r w:rsidR="000F0BD4">
        <w:rPr>
          <w:rFonts w:ascii="Times New Roman" w:hAnsi="Times New Roman" w:cs="Times New Roman"/>
          <w:noProof/>
          <w:color w:val="000000" w:themeColor="text1"/>
        </w:rPr>
        <w:t>(</w:t>
      </w:r>
      <w:r w:rsidR="000F0BD4" w:rsidRPr="000F0BD4">
        <w:rPr>
          <w:rFonts w:ascii="Times New Roman" w:hAnsi="Times New Roman" w:cs="Times New Roman"/>
          <w:noProof/>
          <w:color w:val="000000" w:themeColor="text1"/>
        </w:rPr>
        <w:t>2019)</w:t>
      </w:r>
      <w:r w:rsidR="003B101C">
        <w:rPr>
          <w:rFonts w:ascii="Times New Roman" w:hAnsi="Times New Roman" w:cs="Times New Roman"/>
          <w:color w:val="000000" w:themeColor="text1"/>
        </w:rPr>
        <w:fldChar w:fldCharType="end"/>
      </w:r>
      <w:r w:rsidR="00087E0D" w:rsidRPr="00087E0D">
        <w:rPr>
          <w:rFonts w:ascii="Times New Roman" w:hAnsi="Times New Roman" w:cs="Times New Roman"/>
          <w:color w:val="4472C4" w:themeColor="accent1"/>
        </w:rPr>
        <w:t xml:space="preserve"> </w:t>
      </w:r>
      <w:r w:rsidR="00087E0D">
        <w:rPr>
          <w:rFonts w:ascii="Times New Roman" w:hAnsi="Times New Roman" w:cs="Times New Roman"/>
          <w:color w:val="000000" w:themeColor="text1"/>
        </w:rPr>
        <w:t xml:space="preserve">for </w:t>
      </w:r>
      <w:r w:rsidR="00087E0D" w:rsidRPr="00087E0D">
        <w:rPr>
          <w:rFonts w:ascii="Times New Roman" w:hAnsi="Times New Roman" w:cs="Times New Roman"/>
          <w:color w:val="000000" w:themeColor="text1"/>
        </w:rPr>
        <w:t xml:space="preserve">equation </w:t>
      </w:r>
      <w:r w:rsidR="00087E0D">
        <w:rPr>
          <w:rFonts w:ascii="Times New Roman" w:hAnsi="Times New Roman" w:cs="Times New Roman"/>
          <w:color w:val="000000" w:themeColor="text1"/>
        </w:rPr>
        <w:t>(</w:t>
      </w:r>
      <w:r w:rsidR="00087E0D" w:rsidRPr="00087E0D">
        <w:rPr>
          <w:rFonts w:ascii="Times New Roman" w:hAnsi="Times New Roman" w:cs="Times New Roman"/>
          <w:color w:val="000000" w:themeColor="text1"/>
        </w:rPr>
        <w:t>10</w:t>
      </w:r>
      <w:r w:rsidR="00087E0D">
        <w:rPr>
          <w:rFonts w:ascii="Times New Roman" w:hAnsi="Times New Roman" w:cs="Times New Roman"/>
          <w:color w:val="000000" w:themeColor="text1"/>
        </w:rPr>
        <w:t>)</w:t>
      </w:r>
      <w:r w:rsidR="00087E0D" w:rsidRPr="00087E0D">
        <w:rPr>
          <w:rFonts w:ascii="Times New Roman" w:hAnsi="Times New Roman" w:cs="Times New Roman"/>
          <w:color w:val="000000" w:themeColor="text1"/>
        </w:rPr>
        <w:t xml:space="preserve"> in the main text</w:t>
      </w:r>
      <w:r w:rsidR="00087E0D">
        <w:rPr>
          <w:rFonts w:ascii="Times New Roman" w:hAnsi="Times New Roman" w:cs="Times New Roman"/>
          <w:color w:val="000000" w:themeColor="text1"/>
        </w:rPr>
        <w:t xml:space="preserve"> (i.e.,</w:t>
      </w:r>
      <w:r w:rsidR="00087E0D" w:rsidRPr="00087E0D">
        <w:rPr>
          <w:rFonts w:ascii="Times New Roman" w:hAnsi="Times New Roman" w:cs="Times New Roman"/>
          <w:color w:val="000000" w:themeColor="text1"/>
        </w:rPr>
        <w:t xml:space="preserve"> </w:t>
      </w:r>
      <w:r w:rsidR="00087E0D" w:rsidRPr="00087E0D">
        <w:rPr>
          <w:rFonts w:ascii="Times New Roman" w:hAnsi="Times New Roman" w:cs="Times New Roman"/>
          <w:i/>
          <w:iCs/>
          <w:color w:val="000000" w:themeColor="text1"/>
        </w:rPr>
        <w:t>K</w:t>
      </w:r>
      <w:r w:rsidR="00087E0D" w:rsidRPr="00087E0D">
        <w:rPr>
          <w:rFonts w:ascii="Times New Roman" w:hAnsi="Times New Roman" w:cs="Times New Roman"/>
          <w:color w:val="000000" w:themeColor="text1"/>
          <w:vertAlign w:val="subscript"/>
        </w:rPr>
        <w:t>SC</w:t>
      </w:r>
      <w:r w:rsidR="00087E0D" w:rsidRPr="00087E0D">
        <w:rPr>
          <w:rFonts w:ascii="Times New Roman" w:hAnsi="Times New Roman" w:cs="Times New Roman"/>
          <w:color w:val="000000" w:themeColor="text1"/>
        </w:rPr>
        <w:t>).</w:t>
      </w:r>
      <w:r w:rsidR="00715FB3">
        <w:rPr>
          <w:rFonts w:ascii="Times New Roman" w:hAnsi="Times New Roman" w:cs="Times New Roman"/>
          <w:color w:val="000000" w:themeColor="text1"/>
        </w:rPr>
        <w:t xml:space="preserve"> </w:t>
      </w:r>
      <w:r w:rsidR="00715FB3">
        <w:rPr>
          <w:rFonts w:ascii="Times New Roman" w:hAnsi="Times New Roman" w:cs="Times New Roman"/>
          <w:i/>
          <w:iCs/>
          <w:color w:val="000000" w:themeColor="text1"/>
        </w:rPr>
        <w:t xml:space="preserve">T </w:t>
      </w:r>
      <w:r w:rsidR="00715FB3">
        <w:rPr>
          <w:rFonts w:ascii="Times New Roman" w:hAnsi="Times New Roman" w:cs="Times New Roman"/>
          <w:color w:val="000000" w:themeColor="text1"/>
        </w:rPr>
        <w:t xml:space="preserve">and </w:t>
      </w:r>
      <w:r w:rsidR="00715FB3">
        <w:rPr>
          <w:rFonts w:ascii="Times New Roman" w:hAnsi="Times New Roman" w:cs="Times New Roman"/>
          <w:i/>
          <w:iCs/>
          <w:color w:val="000000" w:themeColor="text1"/>
        </w:rPr>
        <w:t>P</w:t>
      </w:r>
      <w:r w:rsidR="00715FB3">
        <w:rPr>
          <w:rFonts w:ascii="Times New Roman" w:hAnsi="Times New Roman" w:cs="Times New Roman"/>
          <w:color w:val="000000" w:themeColor="text1"/>
        </w:rPr>
        <w:t xml:space="preserve"> ranges (where appropriate) for fugacity coefficients and equilibrium constants are summarised in </w:t>
      </w:r>
      <w:r w:rsidR="00715FB3" w:rsidRPr="00C62730">
        <w:rPr>
          <w:rFonts w:ascii="Times New Roman" w:hAnsi="Times New Roman" w:cs="Times New Roman"/>
          <w:color w:val="000000" w:themeColor="text1"/>
        </w:rPr>
        <w:fldChar w:fldCharType="begin"/>
      </w:r>
      <w:r w:rsidR="00715FB3" w:rsidRPr="00C62730">
        <w:rPr>
          <w:rFonts w:ascii="Times New Roman" w:hAnsi="Times New Roman" w:cs="Times New Roman"/>
          <w:color w:val="000000" w:themeColor="text1"/>
        </w:rPr>
        <w:instrText xml:space="preserve"> REF _Ref118652786 \h </w:instrText>
      </w:r>
      <w:r w:rsidR="00715FB3">
        <w:rPr>
          <w:rFonts w:ascii="Times New Roman" w:hAnsi="Times New Roman" w:cs="Times New Roman"/>
          <w:color w:val="000000" w:themeColor="text1"/>
        </w:rPr>
        <w:instrText xml:space="preserve"> \* MERGEFORMAT </w:instrText>
      </w:r>
      <w:r w:rsidR="00715FB3" w:rsidRPr="00C62730">
        <w:rPr>
          <w:rFonts w:ascii="Times New Roman" w:hAnsi="Times New Roman" w:cs="Times New Roman"/>
          <w:color w:val="000000" w:themeColor="text1"/>
        </w:rPr>
      </w:r>
      <w:r w:rsidR="00715FB3" w:rsidRPr="00C62730">
        <w:rPr>
          <w:rFonts w:ascii="Times New Roman" w:hAnsi="Times New Roman" w:cs="Times New Roman"/>
          <w:color w:val="000000" w:themeColor="text1"/>
        </w:rPr>
        <w:fldChar w:fldCharType="separate"/>
      </w:r>
      <w:r w:rsidR="00715FB3" w:rsidRPr="00EE0870">
        <w:rPr>
          <w:rFonts w:ascii="Times New Roman" w:hAnsi="Times New Roman" w:cs="Times New Roman"/>
          <w:color w:val="000000" w:themeColor="text1"/>
        </w:rPr>
        <w:t>Table S</w:t>
      </w:r>
      <w:r w:rsidR="00715FB3" w:rsidRPr="00EE0870">
        <w:rPr>
          <w:rFonts w:ascii="Times New Roman" w:hAnsi="Times New Roman" w:cs="Times New Roman"/>
          <w:noProof/>
          <w:color w:val="000000" w:themeColor="text1"/>
        </w:rPr>
        <w:t>2</w:t>
      </w:r>
      <w:r w:rsidR="00715FB3" w:rsidRPr="00C62730">
        <w:rPr>
          <w:rFonts w:ascii="Times New Roman" w:hAnsi="Times New Roman" w:cs="Times New Roman"/>
          <w:color w:val="000000" w:themeColor="text1"/>
        </w:rPr>
        <w:fldChar w:fldCharType="end"/>
      </w:r>
      <w:r w:rsidR="00715FB3">
        <w:rPr>
          <w:rFonts w:ascii="Times New Roman" w:hAnsi="Times New Roman" w:cs="Times New Roman"/>
          <w:color w:val="000000" w:themeColor="text1"/>
        </w:rPr>
        <w:t>.</w:t>
      </w:r>
    </w:p>
    <w:p w14:paraId="5D8DFCFA" w14:textId="36C25427" w:rsidR="004876F7" w:rsidRDefault="00095A1C" w:rsidP="004876F7">
      <w:pPr>
        <w:keepNext/>
        <w:jc w:val="center"/>
      </w:pPr>
      <w:r>
        <w:rPr>
          <w:noProof/>
        </w:rPr>
        <w:drawing>
          <wp:inline distT="0" distB="0" distL="0" distR="0" wp14:anchorId="6D39FD53" wp14:editId="64B85D06">
            <wp:extent cx="4572000" cy="2743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000" cy="2743200"/>
                    </a:xfrm>
                    <a:prstGeom prst="rect">
                      <a:avLst/>
                    </a:prstGeom>
                  </pic:spPr>
                </pic:pic>
              </a:graphicData>
            </a:graphic>
          </wp:inline>
        </w:drawing>
      </w:r>
    </w:p>
    <w:p w14:paraId="2BA16E78" w14:textId="0AB5EAC7" w:rsidR="00267421" w:rsidRDefault="004876F7" w:rsidP="0022237F">
      <w:pPr>
        <w:pStyle w:val="Caption"/>
        <w:spacing w:after="245"/>
        <w:ind w:firstLine="0"/>
      </w:pPr>
      <w:bookmarkStart w:id="1" w:name="_Ref83673148"/>
      <w:r w:rsidRPr="00F81B70">
        <w:rPr>
          <w:color w:val="000000" w:themeColor="text1"/>
          <w:sz w:val="24"/>
          <w:szCs w:val="24"/>
        </w:rPr>
        <w:t>Figure S</w:t>
      </w:r>
      <w:r w:rsidRPr="00F81B70">
        <w:rPr>
          <w:i w:val="0"/>
          <w:iCs w:val="0"/>
          <w:color w:val="000000" w:themeColor="text1"/>
        </w:rPr>
        <w:fldChar w:fldCharType="begin"/>
      </w:r>
      <w:r w:rsidRPr="00F81B70">
        <w:rPr>
          <w:color w:val="000000" w:themeColor="text1"/>
          <w:sz w:val="24"/>
          <w:szCs w:val="24"/>
        </w:rPr>
        <w:instrText xml:space="preserve"> SEQ Figure \* ARABIC </w:instrText>
      </w:r>
      <w:r w:rsidRPr="00F81B70">
        <w:rPr>
          <w:i w:val="0"/>
          <w:iCs w:val="0"/>
          <w:color w:val="000000" w:themeColor="text1"/>
        </w:rPr>
        <w:fldChar w:fldCharType="separate"/>
      </w:r>
      <w:r w:rsidR="009E5695">
        <w:rPr>
          <w:noProof/>
          <w:color w:val="000000" w:themeColor="text1"/>
          <w:sz w:val="24"/>
          <w:szCs w:val="24"/>
        </w:rPr>
        <w:t>1</w:t>
      </w:r>
      <w:r w:rsidRPr="00F81B70">
        <w:rPr>
          <w:i w:val="0"/>
          <w:iCs w:val="0"/>
          <w:color w:val="000000" w:themeColor="text1"/>
        </w:rPr>
        <w:fldChar w:fldCharType="end"/>
      </w:r>
      <w:bookmarkEnd w:id="1"/>
      <w:r w:rsidRPr="00F81B70">
        <w:rPr>
          <w:i w:val="0"/>
          <w:iCs w:val="0"/>
          <w:color w:val="000000" w:themeColor="text1"/>
          <w:sz w:val="24"/>
          <w:szCs w:val="24"/>
        </w:rPr>
        <w:t xml:space="preserve"> Fugacity coefficient</w:t>
      </w:r>
      <w:r w:rsidR="00DD1786" w:rsidRPr="00F81B70">
        <w:rPr>
          <w:i w:val="0"/>
          <w:iCs w:val="0"/>
          <w:color w:val="000000" w:themeColor="text1"/>
          <w:sz w:val="24"/>
          <w:szCs w:val="24"/>
        </w:rPr>
        <w:t>s</w:t>
      </w:r>
      <w:r w:rsidRPr="00F81B70">
        <w:rPr>
          <w:i w:val="0"/>
          <w:iCs w:val="0"/>
          <w:color w:val="000000" w:themeColor="text1"/>
          <w:sz w:val="24"/>
          <w:szCs w:val="24"/>
        </w:rPr>
        <w:t xml:space="preserve"> for SO</w:t>
      </w:r>
      <w:r w:rsidRPr="00F81B70">
        <w:rPr>
          <w:i w:val="0"/>
          <w:iCs w:val="0"/>
          <w:color w:val="000000" w:themeColor="text1"/>
          <w:sz w:val="24"/>
          <w:szCs w:val="24"/>
          <w:vertAlign w:val="subscript"/>
        </w:rPr>
        <w:t>2</w:t>
      </w:r>
      <w:r w:rsidR="00B95A33" w:rsidRPr="00F81B70">
        <w:rPr>
          <w:i w:val="0"/>
          <w:iCs w:val="0"/>
          <w:color w:val="000000" w:themeColor="text1"/>
          <w:sz w:val="24"/>
          <w:szCs w:val="24"/>
        </w:rPr>
        <w:t xml:space="preserve"> and H</w:t>
      </w:r>
      <w:r w:rsidR="00B95A33" w:rsidRPr="00F81B70">
        <w:rPr>
          <w:i w:val="0"/>
          <w:iCs w:val="0"/>
          <w:color w:val="000000" w:themeColor="text1"/>
          <w:sz w:val="24"/>
          <w:szCs w:val="24"/>
          <w:vertAlign w:val="subscript"/>
        </w:rPr>
        <w:t>2</w:t>
      </w:r>
      <w:r w:rsidR="00B95A33" w:rsidRPr="00F81B70">
        <w:rPr>
          <w:i w:val="0"/>
          <w:iCs w:val="0"/>
          <w:color w:val="000000" w:themeColor="text1"/>
          <w:sz w:val="24"/>
          <w:szCs w:val="24"/>
        </w:rPr>
        <w:t>S</w:t>
      </w:r>
      <w:r w:rsidRPr="00F81B70">
        <w:rPr>
          <w:i w:val="0"/>
          <w:iCs w:val="0"/>
          <w:color w:val="000000" w:themeColor="text1"/>
          <w:sz w:val="24"/>
          <w:szCs w:val="24"/>
        </w:rPr>
        <w:t xml:space="preserve">. Black horizontal line is for an ideal gas (i.e., </w:t>
      </w:r>
      <w:r w:rsidRPr="00F81B70">
        <w:rPr>
          <w:rFonts w:ascii="Times New Roman" w:hAnsi="Times New Roman" w:cs="Times New Roman"/>
          <w:color w:val="000000" w:themeColor="text1"/>
          <w:sz w:val="24"/>
          <w:szCs w:val="24"/>
        </w:rPr>
        <w:t>γ</w:t>
      </w:r>
      <w:r w:rsidRPr="00F81B70">
        <w:rPr>
          <w:rFonts w:ascii="Times New Roman" w:hAnsi="Times New Roman" w:cs="Times New Roman"/>
          <w:i w:val="0"/>
          <w:iCs w:val="0"/>
          <w:color w:val="000000" w:themeColor="text1"/>
          <w:sz w:val="24"/>
          <w:szCs w:val="24"/>
        </w:rPr>
        <w:t xml:space="preserve"> = 1). Solid curve</w:t>
      </w:r>
      <w:r w:rsidR="00B95A33" w:rsidRPr="00F81B70">
        <w:rPr>
          <w:rFonts w:ascii="Times New Roman" w:hAnsi="Times New Roman" w:cs="Times New Roman"/>
          <w:i w:val="0"/>
          <w:iCs w:val="0"/>
          <w:color w:val="000000" w:themeColor="text1"/>
          <w:sz w:val="24"/>
          <w:szCs w:val="24"/>
        </w:rPr>
        <w:t>s</w:t>
      </w:r>
      <w:r w:rsidRPr="00F81B70">
        <w:rPr>
          <w:rFonts w:ascii="Times New Roman" w:hAnsi="Times New Roman" w:cs="Times New Roman"/>
          <w:i w:val="0"/>
          <w:iCs w:val="0"/>
          <w:color w:val="000000" w:themeColor="text1"/>
          <w:sz w:val="24"/>
          <w:szCs w:val="24"/>
        </w:rPr>
        <w:t xml:space="preserve"> </w:t>
      </w:r>
      <w:r w:rsidR="00B95A33" w:rsidRPr="00F81B70">
        <w:rPr>
          <w:rFonts w:ascii="Times New Roman" w:hAnsi="Times New Roman" w:cs="Times New Roman"/>
          <w:i w:val="0"/>
          <w:iCs w:val="0"/>
          <w:color w:val="000000" w:themeColor="text1"/>
          <w:sz w:val="24"/>
          <w:szCs w:val="24"/>
        </w:rPr>
        <w:t>are</w:t>
      </w:r>
      <w:r w:rsidRPr="00F81B70">
        <w:rPr>
          <w:rFonts w:ascii="Times New Roman" w:hAnsi="Times New Roman" w:cs="Times New Roman"/>
          <w:i w:val="0"/>
          <w:iCs w:val="0"/>
          <w:color w:val="000000" w:themeColor="text1"/>
          <w:sz w:val="24"/>
          <w:szCs w:val="24"/>
        </w:rPr>
        <w:t xml:space="preserve"> calculated using</w:t>
      </w:r>
      <w:r w:rsidR="003B101C" w:rsidRPr="00F81B70">
        <w:rPr>
          <w:rFonts w:ascii="Times New Roman" w:hAnsi="Times New Roman" w:cs="Times New Roman"/>
          <w:i w:val="0"/>
          <w:iCs w:val="0"/>
          <w:color w:val="000000" w:themeColor="text1"/>
          <w:sz w:val="24"/>
          <w:szCs w:val="24"/>
        </w:rPr>
        <w:t xml:space="preserve"> </w:t>
      </w:r>
      <w:r w:rsidR="003B101C" w:rsidRPr="00F81B70">
        <w:rPr>
          <w:rFonts w:ascii="Times New Roman" w:hAnsi="Times New Roman" w:cs="Times New Roman"/>
          <w:color w:val="000000" w:themeColor="text1"/>
        </w:rPr>
        <w:fldChar w:fldCharType="begin" w:fldLock="1"/>
      </w:r>
      <w:r w:rsidR="000F0BD4" w:rsidRPr="00F81B70">
        <w:rPr>
          <w:rFonts w:ascii="Times New Roman" w:hAnsi="Times New Roman" w:cs="Times New Roman"/>
          <w:i w:val="0"/>
          <w:iCs w:val="0"/>
          <w:color w:val="000000" w:themeColor="text1"/>
          <w:sz w:val="24"/>
          <w:szCs w:val="24"/>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3B101C" w:rsidRPr="00F81B70">
        <w:rPr>
          <w:rFonts w:ascii="Times New Roman" w:hAnsi="Times New Roman" w:cs="Times New Roman"/>
          <w:color w:val="000000" w:themeColor="text1"/>
        </w:rPr>
        <w:fldChar w:fldCharType="separate"/>
      </w:r>
      <w:r w:rsidR="003B101C" w:rsidRPr="00F81B70">
        <w:rPr>
          <w:rFonts w:ascii="Times New Roman" w:hAnsi="Times New Roman" w:cs="Times New Roman"/>
          <w:i w:val="0"/>
          <w:iCs w:val="0"/>
          <w:noProof/>
          <w:color w:val="000000" w:themeColor="text1"/>
          <w:sz w:val="24"/>
          <w:szCs w:val="24"/>
        </w:rPr>
        <w:t>Shi and Saxena (1992)</w:t>
      </w:r>
      <w:r w:rsidR="003B101C" w:rsidRPr="00F81B70">
        <w:rPr>
          <w:rFonts w:ascii="Times New Roman" w:hAnsi="Times New Roman" w:cs="Times New Roman"/>
          <w:color w:val="000000" w:themeColor="text1"/>
        </w:rPr>
        <w:fldChar w:fldCharType="end"/>
      </w:r>
      <w:r w:rsidR="00EC0637">
        <w:rPr>
          <w:rFonts w:ascii="Times New Roman" w:hAnsi="Times New Roman" w:cs="Times New Roman"/>
          <w:i w:val="0"/>
          <w:iCs w:val="0"/>
          <w:color w:val="000000" w:themeColor="text1"/>
          <w:sz w:val="24"/>
          <w:szCs w:val="24"/>
        </w:rPr>
        <w:t xml:space="preserve"> [</w:t>
      </w:r>
      <w:bookmarkStart w:id="2" w:name="OLE_LINK3"/>
      <w:proofErr w:type="spellStart"/>
      <w:r w:rsidR="00EC0637" w:rsidRPr="00F81B70">
        <w:rPr>
          <w:rFonts w:ascii="Times New Roman" w:hAnsi="Times New Roman" w:cs="Times New Roman"/>
          <w:color w:val="000000" w:themeColor="text1"/>
          <w:sz w:val="24"/>
          <w:szCs w:val="24"/>
        </w:rPr>
        <w:t>γ</w:t>
      </w:r>
      <w:bookmarkEnd w:id="2"/>
      <w:r w:rsidR="00EC0637" w:rsidRPr="00F81B70">
        <w:rPr>
          <w:rFonts w:ascii="Times New Roman" w:hAnsi="Times New Roman" w:cs="Times New Roman"/>
          <w:color w:val="000000" w:themeColor="text1"/>
          <w:sz w:val="24"/>
          <w:szCs w:val="24"/>
        </w:rPr>
        <w:t>i</w:t>
      </w:r>
      <w:proofErr w:type="spellEnd"/>
      <w:r w:rsidR="00EC0637" w:rsidRPr="00F81B70">
        <w:rPr>
          <w:rFonts w:ascii="Times New Roman" w:hAnsi="Times New Roman" w:cs="Times New Roman"/>
          <w:i w:val="0"/>
          <w:iCs w:val="0"/>
          <w:color w:val="000000" w:themeColor="text1"/>
          <w:sz w:val="24"/>
          <w:szCs w:val="24"/>
        </w:rPr>
        <w:t xml:space="preserve"> SS92</w:t>
      </w:r>
      <w:r w:rsidR="00EC0637">
        <w:rPr>
          <w:rFonts w:ascii="Times New Roman" w:hAnsi="Times New Roman" w:cs="Times New Roman"/>
          <w:i w:val="0"/>
          <w:iCs w:val="0"/>
          <w:color w:val="000000" w:themeColor="text1"/>
          <w:sz w:val="24"/>
          <w:szCs w:val="24"/>
        </w:rPr>
        <w:t>]</w:t>
      </w:r>
      <w:r w:rsidRPr="00F81B70">
        <w:rPr>
          <w:rFonts w:ascii="Times New Roman" w:hAnsi="Times New Roman" w:cs="Times New Roman"/>
          <w:i w:val="0"/>
          <w:iCs w:val="0"/>
          <w:color w:val="000000" w:themeColor="text1"/>
          <w:sz w:val="24"/>
          <w:szCs w:val="24"/>
        </w:rPr>
        <w:t xml:space="preserve"> </w:t>
      </w:r>
      <w:r w:rsidR="00021ACC" w:rsidRPr="00F81B70">
        <w:rPr>
          <w:rFonts w:ascii="Times New Roman" w:hAnsi="Times New Roman" w:cs="Times New Roman"/>
          <w:i w:val="0"/>
          <w:iCs w:val="0"/>
          <w:color w:val="000000" w:themeColor="text1"/>
          <w:sz w:val="24"/>
          <w:szCs w:val="24"/>
        </w:rPr>
        <w:t xml:space="preserve">for </w:t>
      </w:r>
      <w:proofErr w:type="spellStart"/>
      <w:r w:rsidR="00EC0637" w:rsidRPr="00EC0637">
        <w:rPr>
          <w:rFonts w:ascii="Times New Roman" w:hAnsi="Times New Roman" w:cs="Times New Roman"/>
          <w:color w:val="000000" w:themeColor="text1"/>
          <w:sz w:val="24"/>
          <w:szCs w:val="24"/>
        </w:rPr>
        <w:t>i</w:t>
      </w:r>
      <w:proofErr w:type="spellEnd"/>
      <w:r w:rsidR="00EC0637">
        <w:rPr>
          <w:rFonts w:ascii="Times New Roman" w:hAnsi="Times New Roman" w:cs="Times New Roman"/>
          <w:i w:val="0"/>
          <w:iCs w:val="0"/>
          <w:color w:val="000000" w:themeColor="text1"/>
          <w:sz w:val="24"/>
          <w:szCs w:val="24"/>
        </w:rPr>
        <w:t xml:space="preserve"> = </w:t>
      </w:r>
      <w:r w:rsidR="00021ACC" w:rsidRPr="00F81B70">
        <w:rPr>
          <w:rFonts w:ascii="Times New Roman" w:hAnsi="Times New Roman" w:cs="Times New Roman"/>
          <w:i w:val="0"/>
          <w:iCs w:val="0"/>
          <w:color w:val="000000" w:themeColor="text1"/>
          <w:sz w:val="24"/>
          <w:szCs w:val="24"/>
        </w:rPr>
        <w:t>SO</w:t>
      </w:r>
      <w:r w:rsidR="00021ACC" w:rsidRPr="00F81B70">
        <w:rPr>
          <w:rFonts w:ascii="Times New Roman" w:hAnsi="Times New Roman" w:cs="Times New Roman"/>
          <w:i w:val="0"/>
          <w:iCs w:val="0"/>
          <w:color w:val="000000" w:themeColor="text1"/>
          <w:sz w:val="24"/>
          <w:szCs w:val="24"/>
          <w:vertAlign w:val="subscript"/>
        </w:rPr>
        <w:t>2</w:t>
      </w:r>
      <w:r w:rsidR="00021ACC" w:rsidRPr="00F81B70">
        <w:rPr>
          <w:rFonts w:ascii="Times New Roman" w:hAnsi="Times New Roman" w:cs="Times New Roman"/>
          <w:i w:val="0"/>
          <w:iCs w:val="0"/>
          <w:color w:val="000000" w:themeColor="text1"/>
          <w:sz w:val="24"/>
          <w:szCs w:val="24"/>
        </w:rPr>
        <w:t xml:space="preserve"> (blue) and H</w:t>
      </w:r>
      <w:r w:rsidR="00021ACC" w:rsidRPr="00F81B70">
        <w:rPr>
          <w:rFonts w:ascii="Times New Roman" w:hAnsi="Times New Roman" w:cs="Times New Roman"/>
          <w:i w:val="0"/>
          <w:iCs w:val="0"/>
          <w:color w:val="000000" w:themeColor="text1"/>
          <w:sz w:val="24"/>
          <w:szCs w:val="24"/>
          <w:vertAlign w:val="subscript"/>
        </w:rPr>
        <w:t>2</w:t>
      </w:r>
      <w:r w:rsidR="00021ACC" w:rsidRPr="00F81B70">
        <w:rPr>
          <w:rFonts w:ascii="Times New Roman" w:hAnsi="Times New Roman" w:cs="Times New Roman"/>
          <w:i w:val="0"/>
          <w:iCs w:val="0"/>
          <w:color w:val="000000" w:themeColor="text1"/>
          <w:sz w:val="24"/>
          <w:szCs w:val="24"/>
        </w:rPr>
        <w:t>S (red)</w:t>
      </w:r>
      <w:r w:rsidRPr="00F81B70">
        <w:rPr>
          <w:rFonts w:ascii="Times New Roman" w:hAnsi="Times New Roman" w:cs="Times New Roman"/>
          <w:i w:val="0"/>
          <w:iCs w:val="0"/>
          <w:color w:val="000000" w:themeColor="text1"/>
          <w:sz w:val="24"/>
          <w:szCs w:val="24"/>
        </w:rPr>
        <w:t>. Dashed line</w:t>
      </w:r>
      <w:r w:rsidR="00021ACC" w:rsidRPr="00F81B70">
        <w:rPr>
          <w:rFonts w:ascii="Times New Roman" w:hAnsi="Times New Roman" w:cs="Times New Roman"/>
          <w:i w:val="0"/>
          <w:iCs w:val="0"/>
          <w:color w:val="000000" w:themeColor="text1"/>
          <w:sz w:val="24"/>
          <w:szCs w:val="24"/>
        </w:rPr>
        <w:t>s</w:t>
      </w:r>
      <w:r w:rsidRPr="00F81B70">
        <w:rPr>
          <w:rFonts w:ascii="Times New Roman" w:hAnsi="Times New Roman" w:cs="Times New Roman"/>
          <w:i w:val="0"/>
          <w:iCs w:val="0"/>
          <w:color w:val="000000" w:themeColor="text1"/>
          <w:sz w:val="24"/>
          <w:szCs w:val="24"/>
        </w:rPr>
        <w:t xml:space="preserve"> </w:t>
      </w:r>
      <w:r w:rsidR="00021ACC" w:rsidRPr="00F81B70">
        <w:rPr>
          <w:rFonts w:ascii="Times New Roman" w:hAnsi="Times New Roman" w:cs="Times New Roman"/>
          <w:i w:val="0"/>
          <w:iCs w:val="0"/>
          <w:color w:val="000000" w:themeColor="text1"/>
          <w:sz w:val="24"/>
          <w:szCs w:val="24"/>
        </w:rPr>
        <w:t>are</w:t>
      </w:r>
      <w:r w:rsidRPr="00F81B70">
        <w:rPr>
          <w:rFonts w:ascii="Times New Roman" w:hAnsi="Times New Roman" w:cs="Times New Roman"/>
          <w:i w:val="0"/>
          <w:iCs w:val="0"/>
          <w:color w:val="000000" w:themeColor="text1"/>
          <w:sz w:val="24"/>
          <w:szCs w:val="24"/>
        </w:rPr>
        <w:t xml:space="preserve"> a linear interpolation</w:t>
      </w:r>
      <w:r w:rsidR="00021ACC" w:rsidRPr="00F81B70">
        <w:rPr>
          <w:rFonts w:ascii="Times New Roman" w:hAnsi="Times New Roman" w:cs="Times New Roman"/>
          <w:i w:val="0"/>
          <w:iCs w:val="0"/>
          <w:color w:val="000000" w:themeColor="text1"/>
          <w:sz w:val="24"/>
          <w:szCs w:val="24"/>
        </w:rPr>
        <w:t>s</w:t>
      </w:r>
      <w:r w:rsidRPr="00F81B70">
        <w:rPr>
          <w:rFonts w:ascii="Times New Roman" w:hAnsi="Times New Roman" w:cs="Times New Roman"/>
          <w:i w:val="0"/>
          <w:iCs w:val="0"/>
          <w:color w:val="000000" w:themeColor="text1"/>
          <w:sz w:val="24"/>
          <w:szCs w:val="24"/>
        </w:rPr>
        <w:t xml:space="preserve"> from the value of </w:t>
      </w:r>
      <w:r w:rsidRPr="00F81B70">
        <w:rPr>
          <w:rFonts w:ascii="Times New Roman" w:hAnsi="Times New Roman" w:cs="Times New Roman"/>
          <w:color w:val="000000" w:themeColor="text1"/>
        </w:rPr>
        <w:fldChar w:fldCharType="begin" w:fldLock="1"/>
      </w:r>
      <w:r w:rsidR="000F0BD4" w:rsidRPr="00F81B70">
        <w:rPr>
          <w:rFonts w:ascii="Times New Roman" w:hAnsi="Times New Roman" w:cs="Times New Roman"/>
          <w:i w:val="0"/>
          <w:iCs w:val="0"/>
          <w:color w:val="000000" w:themeColor="text1"/>
          <w:sz w:val="24"/>
          <w:szCs w:val="24"/>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Pr="00F81B70">
        <w:rPr>
          <w:rFonts w:ascii="Times New Roman" w:hAnsi="Times New Roman" w:cs="Times New Roman"/>
          <w:color w:val="000000" w:themeColor="text1"/>
        </w:rPr>
        <w:fldChar w:fldCharType="separate"/>
      </w:r>
      <w:r w:rsidRPr="00F81B70">
        <w:rPr>
          <w:rFonts w:ascii="Times New Roman" w:hAnsi="Times New Roman" w:cs="Times New Roman"/>
          <w:i w:val="0"/>
          <w:iCs w:val="0"/>
          <w:noProof/>
          <w:color w:val="000000" w:themeColor="text1"/>
          <w:sz w:val="24"/>
          <w:szCs w:val="24"/>
        </w:rPr>
        <w:t>Shi and Saxena (1992)</w:t>
      </w:r>
      <w:r w:rsidRPr="00F81B70">
        <w:rPr>
          <w:rFonts w:ascii="Times New Roman" w:hAnsi="Times New Roman" w:cs="Times New Roman"/>
          <w:color w:val="000000" w:themeColor="text1"/>
        </w:rPr>
        <w:fldChar w:fldCharType="end"/>
      </w:r>
      <w:r w:rsidRPr="00F81B70">
        <w:rPr>
          <w:rFonts w:ascii="Times New Roman" w:hAnsi="Times New Roman" w:cs="Times New Roman"/>
          <w:i w:val="0"/>
          <w:iCs w:val="0"/>
          <w:color w:val="000000" w:themeColor="text1"/>
          <w:sz w:val="24"/>
          <w:szCs w:val="24"/>
        </w:rPr>
        <w:t xml:space="preserve"> at 500 bar to </w:t>
      </w:r>
      <w:r w:rsidRPr="00F81B70">
        <w:rPr>
          <w:rFonts w:ascii="Times New Roman" w:hAnsi="Times New Roman" w:cs="Times New Roman"/>
          <w:color w:val="000000" w:themeColor="text1"/>
          <w:sz w:val="24"/>
          <w:szCs w:val="24"/>
        </w:rPr>
        <w:t>γ</w:t>
      </w:r>
      <w:r w:rsidRPr="00F81B70">
        <w:rPr>
          <w:rFonts w:ascii="Times New Roman" w:hAnsi="Times New Roman" w:cs="Times New Roman"/>
          <w:i w:val="0"/>
          <w:iCs w:val="0"/>
          <w:color w:val="000000" w:themeColor="text1"/>
          <w:sz w:val="24"/>
          <w:szCs w:val="24"/>
        </w:rPr>
        <w:t xml:space="preserve"> = 1 </w:t>
      </w:r>
      <w:r w:rsidR="00EC0637">
        <w:rPr>
          <w:rFonts w:ascii="Times New Roman" w:hAnsi="Times New Roman" w:cs="Times New Roman"/>
          <w:i w:val="0"/>
          <w:iCs w:val="0"/>
          <w:color w:val="000000" w:themeColor="text1"/>
          <w:sz w:val="24"/>
          <w:szCs w:val="24"/>
        </w:rPr>
        <w:t>at</w:t>
      </w:r>
      <w:r w:rsidR="00EC0637" w:rsidRPr="00F81B70">
        <w:rPr>
          <w:rFonts w:ascii="Times New Roman" w:hAnsi="Times New Roman" w:cs="Times New Roman"/>
          <w:i w:val="0"/>
          <w:iCs w:val="0"/>
          <w:color w:val="000000" w:themeColor="text1"/>
          <w:sz w:val="24"/>
          <w:szCs w:val="24"/>
        </w:rPr>
        <w:t xml:space="preserve"> </w:t>
      </w:r>
      <w:r w:rsidRPr="00F81B70">
        <w:rPr>
          <w:rFonts w:ascii="Times New Roman" w:hAnsi="Times New Roman" w:cs="Times New Roman"/>
          <w:color w:val="000000" w:themeColor="text1"/>
          <w:sz w:val="24"/>
          <w:szCs w:val="24"/>
        </w:rPr>
        <w:t>P</w:t>
      </w:r>
      <w:r w:rsidRPr="00F81B70">
        <w:rPr>
          <w:rFonts w:ascii="Times New Roman" w:hAnsi="Times New Roman" w:cs="Times New Roman"/>
          <w:i w:val="0"/>
          <w:iCs w:val="0"/>
          <w:color w:val="000000" w:themeColor="text1"/>
          <w:sz w:val="24"/>
          <w:szCs w:val="24"/>
        </w:rPr>
        <w:t xml:space="preserve"> = 1 bar</w:t>
      </w:r>
      <w:r w:rsidR="00000255" w:rsidRPr="00F81B70">
        <w:rPr>
          <w:rFonts w:ascii="Times New Roman" w:hAnsi="Times New Roman" w:cs="Times New Roman"/>
          <w:i w:val="0"/>
          <w:iCs w:val="0"/>
          <w:color w:val="000000" w:themeColor="text1"/>
          <w:sz w:val="24"/>
          <w:szCs w:val="24"/>
        </w:rPr>
        <w:t xml:space="preserve"> (</w:t>
      </w:r>
      <w:proofErr w:type="spellStart"/>
      <w:r w:rsidR="00000255" w:rsidRPr="00F81B70">
        <w:rPr>
          <w:rFonts w:ascii="Times New Roman" w:hAnsi="Times New Roman" w:cs="Times New Roman"/>
          <w:color w:val="000000" w:themeColor="text1"/>
          <w:sz w:val="24"/>
          <w:szCs w:val="24"/>
        </w:rPr>
        <w:t>γ</w:t>
      </w:r>
      <w:r w:rsidR="00000255" w:rsidRPr="00EC0637">
        <w:rPr>
          <w:rFonts w:ascii="Times New Roman" w:hAnsi="Times New Roman" w:cs="Times New Roman"/>
          <w:color w:val="000000" w:themeColor="text1"/>
          <w:sz w:val="24"/>
          <w:szCs w:val="24"/>
        </w:rPr>
        <w:t>i</w:t>
      </w:r>
      <w:proofErr w:type="spellEnd"/>
      <w:r w:rsidR="00000255" w:rsidRPr="00F81B70">
        <w:rPr>
          <w:rFonts w:ascii="Times New Roman" w:hAnsi="Times New Roman" w:cs="Times New Roman"/>
          <w:i w:val="0"/>
          <w:iCs w:val="0"/>
          <w:color w:val="000000" w:themeColor="text1"/>
          <w:sz w:val="24"/>
          <w:szCs w:val="24"/>
        </w:rPr>
        <w:t xml:space="preserve"> linear)</w:t>
      </w:r>
      <w:r w:rsidRPr="00F81B70">
        <w:rPr>
          <w:rFonts w:ascii="Times New Roman" w:hAnsi="Times New Roman" w:cs="Times New Roman"/>
          <w:i w:val="0"/>
          <w:iCs w:val="0"/>
          <w:color w:val="000000" w:themeColor="text1"/>
          <w:sz w:val="24"/>
          <w:szCs w:val="24"/>
        </w:rPr>
        <w:t>, which is used in this study.</w:t>
      </w:r>
    </w:p>
    <w:p w14:paraId="50B56D3E" w14:textId="77777777" w:rsidR="0022237F" w:rsidRDefault="0022237F">
      <w:pPr>
        <w:rPr>
          <w:rFonts w:asciiTheme="majorBidi" w:eastAsiaTheme="minorEastAsia" w:hAnsiTheme="majorBidi"/>
          <w:i/>
          <w:iCs/>
          <w:color w:val="000000" w:themeColor="text1"/>
        </w:rPr>
      </w:pPr>
      <w:bookmarkStart w:id="3" w:name="_Ref118652786"/>
      <w:r>
        <w:rPr>
          <w:color w:val="000000" w:themeColor="text1"/>
        </w:rPr>
        <w:br w:type="page"/>
      </w:r>
    </w:p>
    <w:p w14:paraId="24A1445E" w14:textId="4619393B" w:rsidR="00715FB3" w:rsidRPr="00F81B70" w:rsidRDefault="00715FB3" w:rsidP="00715FB3">
      <w:pPr>
        <w:pStyle w:val="Caption"/>
        <w:keepNext/>
        <w:spacing w:after="0"/>
        <w:ind w:firstLine="0"/>
        <w:rPr>
          <w:i w:val="0"/>
          <w:iCs w:val="0"/>
          <w:color w:val="000000" w:themeColor="text1"/>
          <w:sz w:val="24"/>
          <w:szCs w:val="24"/>
        </w:rPr>
      </w:pPr>
      <w:r w:rsidRPr="00F81B70">
        <w:rPr>
          <w:color w:val="000000" w:themeColor="text1"/>
          <w:sz w:val="24"/>
          <w:szCs w:val="24"/>
        </w:rPr>
        <w:lastRenderedPageBreak/>
        <w:t>Table S</w:t>
      </w:r>
      <w:r w:rsidRPr="00F81B70">
        <w:rPr>
          <w:color w:val="000000" w:themeColor="text1"/>
          <w:sz w:val="24"/>
          <w:szCs w:val="24"/>
        </w:rPr>
        <w:fldChar w:fldCharType="begin"/>
      </w:r>
      <w:r w:rsidRPr="00F81B70">
        <w:rPr>
          <w:color w:val="000000" w:themeColor="text1"/>
          <w:sz w:val="24"/>
          <w:szCs w:val="24"/>
        </w:rPr>
        <w:instrText xml:space="preserve"> SEQ Table \* ARABIC </w:instrText>
      </w:r>
      <w:r w:rsidRPr="00F81B70">
        <w:rPr>
          <w:color w:val="000000" w:themeColor="text1"/>
          <w:sz w:val="24"/>
          <w:szCs w:val="24"/>
        </w:rPr>
        <w:fldChar w:fldCharType="separate"/>
      </w:r>
      <w:r w:rsidR="00B9491E">
        <w:rPr>
          <w:noProof/>
          <w:color w:val="000000" w:themeColor="text1"/>
          <w:sz w:val="24"/>
          <w:szCs w:val="24"/>
        </w:rPr>
        <w:t>2</w:t>
      </w:r>
      <w:r w:rsidRPr="00F81B70">
        <w:rPr>
          <w:color w:val="000000" w:themeColor="text1"/>
          <w:sz w:val="24"/>
          <w:szCs w:val="24"/>
        </w:rPr>
        <w:fldChar w:fldCharType="end"/>
      </w:r>
      <w:bookmarkEnd w:id="3"/>
      <w:r w:rsidRPr="00F81B70">
        <w:rPr>
          <w:i w:val="0"/>
          <w:iCs w:val="0"/>
          <w:color w:val="000000" w:themeColor="text1"/>
          <w:sz w:val="24"/>
          <w:szCs w:val="24"/>
        </w:rPr>
        <w:t xml:space="preserve"> Summary of range </w:t>
      </w:r>
      <w:r w:rsidR="00095A1C">
        <w:rPr>
          <w:i w:val="0"/>
          <w:iCs w:val="0"/>
          <w:color w:val="000000" w:themeColor="text1"/>
          <w:sz w:val="24"/>
          <w:szCs w:val="24"/>
        </w:rPr>
        <w:t>in</w:t>
      </w:r>
      <w:r w:rsidRPr="00F81B70">
        <w:rPr>
          <w:i w:val="0"/>
          <w:iCs w:val="0"/>
          <w:color w:val="000000" w:themeColor="text1"/>
          <w:sz w:val="24"/>
          <w:szCs w:val="24"/>
        </w:rPr>
        <w:t xml:space="preserve"> composition, </w:t>
      </w:r>
      <w:r w:rsidRPr="00F81B70">
        <w:rPr>
          <w:color w:val="000000" w:themeColor="text1"/>
          <w:sz w:val="24"/>
          <w:szCs w:val="24"/>
        </w:rPr>
        <w:t>P</w:t>
      </w:r>
      <w:r w:rsidRPr="00F81B70">
        <w:rPr>
          <w:i w:val="0"/>
          <w:iCs w:val="0"/>
          <w:color w:val="000000" w:themeColor="text1"/>
          <w:sz w:val="24"/>
          <w:szCs w:val="24"/>
        </w:rPr>
        <w:t xml:space="preserve">, and </w:t>
      </w:r>
      <w:r w:rsidRPr="00F81B70">
        <w:rPr>
          <w:color w:val="000000" w:themeColor="text1"/>
          <w:sz w:val="24"/>
          <w:szCs w:val="24"/>
        </w:rPr>
        <w:t>T</w:t>
      </w:r>
      <w:r w:rsidRPr="00F81B70">
        <w:rPr>
          <w:i w:val="0"/>
          <w:iCs w:val="0"/>
          <w:color w:val="000000" w:themeColor="text1"/>
          <w:sz w:val="24"/>
          <w:szCs w:val="24"/>
        </w:rPr>
        <w:t xml:space="preserve"> for parameters (fugacity coefficients, equilibrium constants, and </w:t>
      </w:r>
      <w:r w:rsidR="0013038B" w:rsidRPr="00F81B70">
        <w:rPr>
          <w:i w:val="0"/>
          <w:iCs w:val="0"/>
          <w:color w:val="000000" w:themeColor="text1"/>
          <w:sz w:val="24"/>
          <w:szCs w:val="24"/>
        </w:rPr>
        <w:t>solubilities</w:t>
      </w:r>
      <w:r w:rsidRPr="00F81B70">
        <w:rPr>
          <w:i w:val="0"/>
          <w:iCs w:val="0"/>
          <w:color w:val="000000" w:themeColor="text1"/>
          <w:sz w:val="24"/>
          <w:szCs w:val="24"/>
        </w:rPr>
        <w:t>) used in this study</w:t>
      </w:r>
      <w:r w:rsidR="00473132">
        <w:rPr>
          <w:i w:val="0"/>
          <w:iCs w:val="0"/>
          <w:color w:val="000000" w:themeColor="text1"/>
          <w:sz w:val="24"/>
          <w:szCs w:val="24"/>
        </w:rPr>
        <w:t xml:space="preserve"> for the Hawaiian tholeiite</w:t>
      </w:r>
      <w:r w:rsidRPr="00F81B70">
        <w:rPr>
          <w:i w:val="0"/>
          <w:iCs w:val="0"/>
          <w:color w:val="000000" w:themeColor="text1"/>
          <w:sz w:val="24"/>
          <w:szCs w:val="24"/>
        </w:rPr>
        <w:t>.</w:t>
      </w:r>
    </w:p>
    <w:tbl>
      <w:tblPr>
        <w:tblStyle w:val="TableGrid"/>
        <w:tblW w:w="0" w:type="auto"/>
        <w:tblLook w:val="04A0" w:firstRow="1" w:lastRow="0" w:firstColumn="1" w:lastColumn="0" w:noHBand="0" w:noVBand="1"/>
      </w:tblPr>
      <w:tblGrid>
        <w:gridCol w:w="1189"/>
        <w:gridCol w:w="1500"/>
        <w:gridCol w:w="1559"/>
        <w:gridCol w:w="1559"/>
        <w:gridCol w:w="3209"/>
      </w:tblGrid>
      <w:tr w:rsidR="004358B7" w14:paraId="28A42964" w14:textId="77777777" w:rsidTr="00095A1C">
        <w:tc>
          <w:tcPr>
            <w:tcW w:w="1189" w:type="dxa"/>
          </w:tcPr>
          <w:p w14:paraId="59C8845E" w14:textId="77777777" w:rsidR="00715FB3" w:rsidRDefault="00715FB3" w:rsidP="00095A1C">
            <w:pPr>
              <w:jc w:val="center"/>
              <w:rPr>
                <w:rFonts w:ascii="Times New Roman" w:hAnsi="Times New Roman" w:cs="Times New Roman"/>
              </w:rPr>
            </w:pPr>
            <w:r>
              <w:rPr>
                <w:rFonts w:ascii="Times New Roman" w:hAnsi="Times New Roman" w:cs="Times New Roman"/>
              </w:rPr>
              <w:t>Parameter</w:t>
            </w:r>
          </w:p>
        </w:tc>
        <w:tc>
          <w:tcPr>
            <w:tcW w:w="1500" w:type="dxa"/>
          </w:tcPr>
          <w:p w14:paraId="7C8AE927" w14:textId="77777777" w:rsidR="00715FB3" w:rsidRDefault="00715FB3" w:rsidP="00095A1C">
            <w:pPr>
              <w:jc w:val="center"/>
              <w:rPr>
                <w:rFonts w:ascii="Times New Roman" w:hAnsi="Times New Roman" w:cs="Times New Roman"/>
              </w:rPr>
            </w:pPr>
            <w:r>
              <w:rPr>
                <w:rFonts w:ascii="Times New Roman" w:hAnsi="Times New Roman" w:cs="Times New Roman"/>
              </w:rPr>
              <w:t>Composition</w:t>
            </w:r>
          </w:p>
        </w:tc>
        <w:tc>
          <w:tcPr>
            <w:tcW w:w="1559" w:type="dxa"/>
          </w:tcPr>
          <w:p w14:paraId="781F89A8" w14:textId="77777777" w:rsidR="00715FB3" w:rsidRDefault="00715FB3" w:rsidP="00095A1C">
            <w:pPr>
              <w:jc w:val="center"/>
              <w:rPr>
                <w:rFonts w:ascii="Times New Roman" w:hAnsi="Times New Roman" w:cs="Times New Roman"/>
              </w:rPr>
            </w:pPr>
            <w:r w:rsidRPr="000B6300">
              <w:rPr>
                <w:rFonts w:ascii="Times New Roman" w:hAnsi="Times New Roman" w:cs="Times New Roman"/>
                <w:i/>
                <w:iCs/>
              </w:rPr>
              <w:t>P</w:t>
            </w:r>
            <w:r>
              <w:rPr>
                <w:rFonts w:ascii="Times New Roman" w:hAnsi="Times New Roman" w:cs="Times New Roman"/>
              </w:rPr>
              <w:t xml:space="preserve"> range (bar)</w:t>
            </w:r>
          </w:p>
        </w:tc>
        <w:tc>
          <w:tcPr>
            <w:tcW w:w="1559" w:type="dxa"/>
          </w:tcPr>
          <w:p w14:paraId="6CF0E20C" w14:textId="77777777" w:rsidR="00715FB3" w:rsidRDefault="00715FB3" w:rsidP="00095A1C">
            <w:pPr>
              <w:jc w:val="center"/>
              <w:rPr>
                <w:rFonts w:ascii="Times New Roman" w:hAnsi="Times New Roman" w:cs="Times New Roman"/>
              </w:rPr>
            </w:pPr>
            <w:r w:rsidRPr="000B6300">
              <w:rPr>
                <w:rFonts w:ascii="Times New Roman" w:hAnsi="Times New Roman" w:cs="Times New Roman"/>
                <w:i/>
                <w:iCs/>
              </w:rPr>
              <w:t>T</w:t>
            </w:r>
            <w:r>
              <w:rPr>
                <w:rFonts w:ascii="Times New Roman" w:hAnsi="Times New Roman" w:cs="Times New Roman"/>
              </w:rPr>
              <w:t xml:space="preserve"> range (</w:t>
            </w:r>
            <w:r w:rsidRPr="00C203DE">
              <w:rPr>
                <w:rFonts w:ascii="Times New Roman" w:hAnsi="Times New Roman" w:cs="Times New Roman"/>
              </w:rPr>
              <w:t>°</w:t>
            </w:r>
            <w:r>
              <w:rPr>
                <w:rFonts w:ascii="Times New Roman" w:hAnsi="Times New Roman" w:cs="Times New Roman"/>
              </w:rPr>
              <w:t>C)</w:t>
            </w:r>
          </w:p>
        </w:tc>
        <w:tc>
          <w:tcPr>
            <w:tcW w:w="3209" w:type="dxa"/>
          </w:tcPr>
          <w:p w14:paraId="701CD57A" w14:textId="77777777" w:rsidR="00715FB3" w:rsidRPr="000B6300" w:rsidRDefault="00715FB3" w:rsidP="00095A1C">
            <w:pPr>
              <w:jc w:val="center"/>
              <w:rPr>
                <w:rFonts w:ascii="Times New Roman" w:hAnsi="Times New Roman" w:cs="Times New Roman"/>
              </w:rPr>
            </w:pPr>
            <w:r w:rsidRPr="000B6300">
              <w:rPr>
                <w:rFonts w:ascii="Times New Roman" w:hAnsi="Times New Roman" w:cs="Times New Roman"/>
              </w:rPr>
              <w:t>Reference</w:t>
            </w:r>
          </w:p>
        </w:tc>
      </w:tr>
      <w:tr w:rsidR="00715FB3" w14:paraId="61E017F1" w14:textId="77777777" w:rsidTr="000B6300">
        <w:tc>
          <w:tcPr>
            <w:tcW w:w="9016" w:type="dxa"/>
            <w:gridSpan w:val="5"/>
          </w:tcPr>
          <w:p w14:paraId="517A74CF" w14:textId="77777777" w:rsidR="00715FB3" w:rsidRPr="006B6E47" w:rsidRDefault="00715FB3" w:rsidP="000B6300">
            <w:pPr>
              <w:jc w:val="both"/>
              <w:rPr>
                <w:rFonts w:ascii="Times New Roman" w:hAnsi="Times New Roman" w:cs="Times New Roman"/>
                <w:i/>
                <w:iCs/>
              </w:rPr>
            </w:pPr>
            <w:r>
              <w:rPr>
                <w:rFonts w:ascii="Times New Roman" w:eastAsia="Calibri" w:hAnsi="Times New Roman" w:cs="Times New Roman"/>
                <w:i/>
                <w:iCs/>
              </w:rPr>
              <w:t>Fugacity coefficients</w:t>
            </w:r>
          </w:p>
        </w:tc>
      </w:tr>
      <w:tr w:rsidR="004358B7" w14:paraId="0A93C0D0" w14:textId="77777777" w:rsidTr="00095A1C">
        <w:tc>
          <w:tcPr>
            <w:tcW w:w="1189" w:type="dxa"/>
            <w:tcBorders>
              <w:bottom w:val="nil"/>
            </w:tcBorders>
          </w:tcPr>
          <w:p w14:paraId="6D036438" w14:textId="77777777" w:rsidR="00715FB3" w:rsidRDefault="00063B50" w:rsidP="000B6300">
            <w:pPr>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O</m:t>
                        </m:r>
                      </m:e>
                      <m:sub>
                        <m:r>
                          <m:rPr>
                            <m:sty m:val="p"/>
                          </m:rPr>
                          <w:rPr>
                            <w:rFonts w:ascii="Cambria Math" w:hAnsi="Cambria Math" w:cs="Times New Roman"/>
                          </w:rPr>
                          <m:t>2</m:t>
                        </m:r>
                      </m:sub>
                    </m:sSub>
                  </m:sub>
                  <m:sup>
                    <m:r>
                      <w:rPr>
                        <w:rFonts w:ascii="Cambria Math" w:hAnsi="Cambria Math" w:cs="Times New Roman"/>
                      </w:rPr>
                      <m:t>v</m:t>
                    </m:r>
                  </m:sup>
                </m:sSubSup>
              </m:oMath>
            </m:oMathPara>
          </w:p>
        </w:tc>
        <w:tc>
          <w:tcPr>
            <w:tcW w:w="1500" w:type="dxa"/>
            <w:tcBorders>
              <w:bottom w:val="nil"/>
            </w:tcBorders>
          </w:tcPr>
          <w:p w14:paraId="3628B939"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bottom w:val="nil"/>
            </w:tcBorders>
          </w:tcPr>
          <w:p w14:paraId="5356835E" w14:textId="77777777" w:rsidR="00715FB3" w:rsidRPr="000B6300" w:rsidRDefault="00715FB3" w:rsidP="000B6300">
            <w:pPr>
              <w:jc w:val="right"/>
              <w:rPr>
                <w:rFonts w:ascii="Times New Roman" w:hAnsi="Times New Roman" w:cs="Times New Roman"/>
              </w:rPr>
            </w:pPr>
            <w:r>
              <w:rPr>
                <w:rFonts w:ascii="Times New Roman" w:hAnsi="Times New Roman" w:cs="Times New Roman"/>
              </w:rPr>
              <w:t>51–20000</w:t>
            </w:r>
          </w:p>
        </w:tc>
        <w:tc>
          <w:tcPr>
            <w:tcW w:w="1559" w:type="dxa"/>
            <w:tcBorders>
              <w:bottom w:val="nil"/>
            </w:tcBorders>
          </w:tcPr>
          <w:p w14:paraId="38FA87D0"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-118</w:t>
            </w:r>
            <w:r w:rsidRPr="006B6E47">
              <w:rPr>
                <w:rFonts w:ascii="Times New Roman" w:hAnsi="Times New Roman" w:cs="Times New Roman"/>
              </w:rPr>
              <w:t>–</w:t>
            </w:r>
            <w:r>
              <w:rPr>
                <w:rFonts w:ascii="Times New Roman" w:hAnsi="Times New Roman" w:cs="Times New Roman"/>
              </w:rPr>
              <w:t>2227</w:t>
            </w:r>
          </w:p>
        </w:tc>
        <w:tc>
          <w:tcPr>
            <w:tcW w:w="3209" w:type="dxa"/>
            <w:tcBorders>
              <w:bottom w:val="nil"/>
            </w:tcBorders>
          </w:tcPr>
          <w:p w14:paraId="7E390828" w14:textId="2EE3FA2A"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4358B7" w14:paraId="6DB089BA" w14:textId="77777777" w:rsidTr="00095A1C">
        <w:tc>
          <w:tcPr>
            <w:tcW w:w="1189" w:type="dxa"/>
            <w:tcBorders>
              <w:top w:val="nil"/>
              <w:bottom w:val="nil"/>
            </w:tcBorders>
          </w:tcPr>
          <w:p w14:paraId="6F55F8C5"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H</m:t>
                        </m:r>
                      </m:e>
                      <m:sub>
                        <m:r>
                          <m:rPr>
                            <m:sty m:val="p"/>
                          </m:rPr>
                          <w:rPr>
                            <w:rFonts w:ascii="Cambria Math" w:hAnsi="Cambria Math" w:cs="Times New Roman"/>
                          </w:rPr>
                          <m:t>2</m:t>
                        </m:r>
                      </m:sub>
                    </m:sSub>
                  </m:sub>
                  <m:sup>
                    <m:r>
                      <w:rPr>
                        <w:rFonts w:ascii="Cambria Math" w:hAnsi="Cambria Math" w:cs="Times New Roman"/>
                      </w:rPr>
                      <m:t>v</m:t>
                    </m:r>
                  </m:sup>
                </m:sSubSup>
              </m:oMath>
            </m:oMathPara>
          </w:p>
        </w:tc>
        <w:tc>
          <w:tcPr>
            <w:tcW w:w="1500" w:type="dxa"/>
            <w:tcBorders>
              <w:top w:val="nil"/>
              <w:bottom w:val="nil"/>
            </w:tcBorders>
          </w:tcPr>
          <w:p w14:paraId="50358F62"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31CA7925" w14:textId="3D6A593F" w:rsidR="00715FB3" w:rsidRPr="000B6300" w:rsidRDefault="00715FB3" w:rsidP="000B6300">
            <w:pPr>
              <w:jc w:val="right"/>
              <w:rPr>
                <w:rFonts w:ascii="Times New Roman" w:hAnsi="Times New Roman" w:cs="Times New Roman"/>
              </w:rPr>
            </w:pPr>
            <w:r>
              <w:rPr>
                <w:rFonts w:ascii="Times New Roman" w:hAnsi="Times New Roman" w:cs="Times New Roman"/>
              </w:rPr>
              <w:t>1–</w:t>
            </w:r>
            <w:r w:rsidR="00EE0870">
              <w:rPr>
                <w:rFonts w:ascii="Times New Roman" w:hAnsi="Times New Roman" w:cs="Times New Roman"/>
              </w:rPr>
              <w:t>3040</w:t>
            </w:r>
            <w:r>
              <w:rPr>
                <w:rFonts w:ascii="Times New Roman" w:hAnsi="Times New Roman" w:cs="Times New Roman"/>
              </w:rPr>
              <w:t xml:space="preserve"> </w:t>
            </w:r>
          </w:p>
        </w:tc>
        <w:tc>
          <w:tcPr>
            <w:tcW w:w="1559" w:type="dxa"/>
            <w:tcBorders>
              <w:top w:val="nil"/>
              <w:bottom w:val="nil"/>
            </w:tcBorders>
          </w:tcPr>
          <w:p w14:paraId="3F96526A" w14:textId="1A6286FB" w:rsidR="00715FB3" w:rsidRPr="000B6300" w:rsidRDefault="00EE0870" w:rsidP="000B6300">
            <w:pPr>
              <w:jc w:val="right"/>
              <w:rPr>
                <w:rFonts w:ascii="Times New Roman" w:hAnsi="Times New Roman" w:cs="Times New Roman"/>
              </w:rPr>
            </w:pPr>
            <w:r>
              <w:rPr>
                <w:rFonts w:ascii="Times New Roman" w:hAnsi="Times New Roman" w:cs="Times New Roman"/>
              </w:rPr>
              <w:t>0</w:t>
            </w:r>
            <w:r w:rsidR="00715FB3">
              <w:rPr>
                <w:rFonts w:ascii="Times New Roman" w:hAnsi="Times New Roman" w:cs="Times New Roman"/>
              </w:rPr>
              <w:t>–</w:t>
            </w:r>
            <w:r>
              <w:rPr>
                <w:rFonts w:ascii="Times New Roman" w:hAnsi="Times New Roman" w:cs="Times New Roman"/>
              </w:rPr>
              <w:t>1000</w:t>
            </w:r>
            <w:r w:rsidR="00715FB3">
              <w:rPr>
                <w:rFonts w:ascii="Times New Roman" w:hAnsi="Times New Roman" w:cs="Times New Roman"/>
              </w:rPr>
              <w:t xml:space="preserve"> </w:t>
            </w:r>
          </w:p>
        </w:tc>
        <w:tc>
          <w:tcPr>
            <w:tcW w:w="3209" w:type="dxa"/>
            <w:tcBorders>
              <w:top w:val="nil"/>
              <w:bottom w:val="nil"/>
            </w:tcBorders>
          </w:tcPr>
          <w:p w14:paraId="04E47B69" w14:textId="0C0D8CFF" w:rsidR="00715FB3" w:rsidRPr="000B6300" w:rsidRDefault="0013038B" w:rsidP="000B6300">
            <w:pPr>
              <w:jc w:val="both"/>
              <w:rPr>
                <w:rFonts w:ascii="Times New Roman" w:hAnsi="Times New Roman" w:cs="Times New Roman"/>
              </w:rPr>
            </w:pPr>
            <w:r w:rsidRPr="0052454E">
              <w:rPr>
                <w:rFonts w:ascii="Times New Roman" w:hAnsi="Times New Roman" w:cs="Times New Roman"/>
              </w:rPr>
              <w:fldChar w:fldCharType="begin" w:fldLock="1"/>
            </w:r>
            <w:r w:rsidRPr="0052454E">
              <w:rPr>
                <w:rFonts w:ascii="Times New Roman" w:hAnsi="Times New Roman" w:cs="Times New Roman"/>
                <w:shd w:val="clear" w:color="auto" w:fill="FFFF00"/>
              </w:rPr>
              <w:instrText>ADDIN CSL_CITATION {"citationItems":[{"id":"ITEM-1","itemData":{"DOI":"10.2475/AJS.262.7.918","ISSN":"0002-9599","abstract":"An empirical equation of state is derived for hydrogen gas which permits computations of fugacity coefficients with reasonable confidence over a wide range of temperatures and pressures. Comparisons are given between fugacity coefficients from the tables and from graphical integration of P-V-T data, as well as comparisons with some previously published results. The tabulated values faithfully reproduce the trends shown by experimental data.","author":[{"dropping-particle":"","family":"Shaw","given":"Herbert R.","non-dropping-particle":"","parse-names":false,"suffix":""},{"dropping-particle":"","family":"Wones","given":"David R.","non-dropping-particle":"","parse-names":false,"suffix":""}],"container-title":"American Journal of Science","id":"ITEM-1","issue":"7","issued":{"date-parts":[["1964","9","1"]]},"page":"918-929","publisher":"American Journal of Science","title":"Fugacity coefficients for hydrogen gas between 0 degrees and 1000 degrees C, for pressures to 3000 atm","type":"article-journal","volume":"262"},"uris":["http://www.mendeley.com/documents/?uuid=5634fd93-831d-3da7-b469-81a8f98d4d94"]}],"mendeley":{"formattedCitation":"(Shaw and Wones, 1964)","manualFormatting":"Shaw and Wones (1964)","plainTextFormattedCitation":"(Shaw and Wones, 1964)","previouslyFormattedCitation":"(Shaw and Wones, 1964)"},"properties":{"noteIndex":0},"schema":"https://github.com/citation-style-language/schema/raw/master/csl-citation.json"}</w:instrText>
            </w:r>
            <w:r w:rsidRPr="0052454E">
              <w:rPr>
                <w:rFonts w:ascii="Times New Roman" w:hAnsi="Times New Roman" w:cs="Times New Roman"/>
              </w:rPr>
              <w:fldChar w:fldCharType="separate"/>
            </w:r>
            <w:r w:rsidRPr="0052454E">
              <w:rPr>
                <w:rFonts w:ascii="Times New Roman" w:hAnsi="Times New Roman" w:cs="Times New Roman"/>
                <w:noProof/>
              </w:rPr>
              <w:t>Shaw and Wones (1964)</w:t>
            </w:r>
            <w:r w:rsidRPr="0052454E">
              <w:rPr>
                <w:rFonts w:ascii="Times New Roman" w:hAnsi="Times New Roman" w:cs="Times New Roman"/>
              </w:rPr>
              <w:fldChar w:fldCharType="end"/>
            </w:r>
          </w:p>
        </w:tc>
      </w:tr>
      <w:tr w:rsidR="004358B7" w14:paraId="5A67DD79" w14:textId="77777777" w:rsidTr="00095A1C">
        <w:tc>
          <w:tcPr>
            <w:tcW w:w="1189" w:type="dxa"/>
            <w:tcBorders>
              <w:top w:val="nil"/>
              <w:bottom w:val="nil"/>
            </w:tcBorders>
          </w:tcPr>
          <w:p w14:paraId="79B059B6"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H</m:t>
                        </m:r>
                      </m:e>
                      <m:sub>
                        <m:r>
                          <m:rPr>
                            <m:sty m:val="p"/>
                          </m:rPr>
                          <w:rPr>
                            <w:rFonts w:ascii="Cambria Math" w:hAnsi="Cambria Math" w:cs="Times New Roman"/>
                          </w:rPr>
                          <m:t>2</m:t>
                        </m:r>
                      </m:sub>
                    </m:sSub>
                    <m:r>
                      <m:rPr>
                        <m:sty m:val="p"/>
                      </m:rPr>
                      <w:rPr>
                        <w:rFonts w:ascii="Cambria Math" w:hAnsi="Cambria Math" w:cs="Times New Roman"/>
                      </w:rPr>
                      <m:t>O</m:t>
                    </m:r>
                  </m:sub>
                  <m:sup>
                    <m:r>
                      <w:rPr>
                        <w:rFonts w:ascii="Cambria Math" w:hAnsi="Cambria Math" w:cs="Times New Roman"/>
                      </w:rPr>
                      <m:t>v</m:t>
                    </m:r>
                  </m:sup>
                </m:sSubSup>
              </m:oMath>
            </m:oMathPara>
          </w:p>
        </w:tc>
        <w:tc>
          <w:tcPr>
            <w:tcW w:w="1500" w:type="dxa"/>
            <w:tcBorders>
              <w:top w:val="nil"/>
              <w:bottom w:val="nil"/>
            </w:tcBorders>
          </w:tcPr>
          <w:p w14:paraId="7D6EA5BB"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18D8F8A3"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1–50000</w:t>
            </w:r>
          </w:p>
        </w:tc>
        <w:tc>
          <w:tcPr>
            <w:tcW w:w="1559" w:type="dxa"/>
            <w:tcBorders>
              <w:top w:val="nil"/>
              <w:bottom w:val="nil"/>
            </w:tcBorders>
          </w:tcPr>
          <w:p w14:paraId="56C748E0"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100–1400</w:t>
            </w:r>
          </w:p>
        </w:tc>
        <w:tc>
          <w:tcPr>
            <w:tcW w:w="3209" w:type="dxa"/>
            <w:tcBorders>
              <w:top w:val="nil"/>
              <w:bottom w:val="nil"/>
            </w:tcBorders>
          </w:tcPr>
          <w:p w14:paraId="3643940A" w14:textId="3F21F2E5"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{"citationItems":[{"id":"ITEM-1","itemData":{"DOI":"10.1007/BF00306484","ISSN":"1432-0967","abstract":"We present a simple virial-type extension to the modified Redlich-Kwong (MRK) equation for calculation of the volumes and fugacities of H2O and CO2 over the pressure range 0.001–50 kbar and 100 to 1400°C (H2O) and 100 to 1600°C (CO2). This extension has been designed to: (a) compensate for the tendency of the MRK equation to overestimate volumes at high pressures, and (b) accommodate the volume behaviour of coexisting gas and liquid phases along the saturation curve. The equation developed for CO2 may be used to derive volumes and fugacities of CO, H2, CH4, N2, O2 and other gases which conform to the corresponding states principle. For H2O the measured volumes of Burnham et al. are significantly higher in the range 4–10 kbar than those presented by other workers. For CO2 the volume behaviour at high pressures derived from published MRK equations are very different (larger volumes, steeper (∂P/∂T)V, and hence larger fugacities) from the virial-type equations of Saxena and Fei. Our CORK equation for CO2 yields fugacities which are in closer agreement with the available high pressure experimental decarbonation reactions.","author":[{"dropping-particle":"","family":"Holland","given":"Tim","non-dropping-particle":"","parse-names":false,"suffix":""},{"dropping-particle":"","family":"Powell","given":"Roger","non-dropping-particle":"","parse-names":false,"suffix":""}],"container-title":"Contributions to Mineralogy and Petrology 1991 109:2","id":"ITEM-1","issue":"2","issued":{"date-parts":[["1991","12"]]},"page":"265-273","publisher":"Springer","title":"A Compensated-Redlich-Kwong (CORK) equation for volumes and fugacities of CO2 and H2O in the range 1 bar to 50 kbar and 100–1600°C","type":"article-journal","volume":"109"},"uris":["http://www.mendeley.com/documents/?uuid=db805e02-f935-3a49-a23c-602687bb9447"]}],"mendeley":{"formattedCitation":"(Holland and Powell, 1991)","manualFormatting":"Holland and Powell (1991)","plainTextFormattedCitation":"(Holland and Powell, 1991)","previouslyFormattedCitation":"(Holland and Powell, 1991)"},"properties":{"noteIndex":0},"schema":"https://github.com/citation-style-language/schema/raw/master/csl-citation.json"}</w:instrText>
            </w:r>
            <w:r>
              <w:rPr>
                <w:rFonts w:ascii="Times New Roman" w:hAnsi="Times New Roman" w:cs="Times New Roman"/>
              </w:rPr>
              <w:fldChar w:fldCharType="separate"/>
            </w:r>
            <w:r w:rsidRPr="00BA5CF4">
              <w:rPr>
                <w:rFonts w:ascii="Times New Roman" w:hAnsi="Times New Roman" w:cs="Times New Roman"/>
                <w:noProof/>
              </w:rPr>
              <w:t xml:space="preserve">Holland and Powell </w:t>
            </w:r>
            <w:r>
              <w:rPr>
                <w:rFonts w:ascii="Times New Roman" w:hAnsi="Times New Roman" w:cs="Times New Roman"/>
                <w:noProof/>
              </w:rPr>
              <w:t>(</w:t>
            </w:r>
            <w:r w:rsidRPr="00BA5CF4">
              <w:rPr>
                <w:rFonts w:ascii="Times New Roman" w:hAnsi="Times New Roman" w:cs="Times New Roman"/>
                <w:noProof/>
              </w:rPr>
              <w:t>1991)</w:t>
            </w:r>
            <w:r>
              <w:rPr>
                <w:rFonts w:ascii="Times New Roman" w:hAnsi="Times New Roman" w:cs="Times New Roman"/>
              </w:rPr>
              <w:fldChar w:fldCharType="end"/>
            </w:r>
          </w:p>
        </w:tc>
      </w:tr>
      <w:tr w:rsidR="004358B7" w14:paraId="25E89AA9" w14:textId="77777777" w:rsidTr="00095A1C">
        <w:tc>
          <w:tcPr>
            <w:tcW w:w="1189" w:type="dxa"/>
            <w:tcBorders>
              <w:top w:val="nil"/>
              <w:bottom w:val="nil"/>
            </w:tcBorders>
          </w:tcPr>
          <w:p w14:paraId="7AA24ADA"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r>
                      <m:rPr>
                        <m:sty m:val="p"/>
                      </m:rPr>
                      <w:rPr>
                        <w:rFonts w:ascii="Cambria Math" w:hAnsi="Cambria Math" w:cs="Times New Roman"/>
                      </w:rPr>
                      <m:t>CO</m:t>
                    </m:r>
                  </m:sub>
                  <m:sup>
                    <m:r>
                      <w:rPr>
                        <w:rFonts w:ascii="Cambria Math" w:hAnsi="Cambria Math" w:cs="Times New Roman"/>
                      </w:rPr>
                      <m:t>v</m:t>
                    </m:r>
                  </m:sup>
                </m:sSubSup>
              </m:oMath>
            </m:oMathPara>
          </w:p>
        </w:tc>
        <w:tc>
          <w:tcPr>
            <w:tcW w:w="1500" w:type="dxa"/>
            <w:tcBorders>
              <w:top w:val="nil"/>
              <w:bottom w:val="nil"/>
            </w:tcBorders>
          </w:tcPr>
          <w:p w14:paraId="3F1E85E8"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1103E0BD"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35–20000</w:t>
            </w:r>
          </w:p>
        </w:tc>
        <w:tc>
          <w:tcPr>
            <w:tcW w:w="1559" w:type="dxa"/>
            <w:tcBorders>
              <w:top w:val="nil"/>
              <w:bottom w:val="nil"/>
            </w:tcBorders>
          </w:tcPr>
          <w:p w14:paraId="5CD162C3"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-140</w:t>
            </w:r>
            <w:r w:rsidRPr="000B6300">
              <w:rPr>
                <w:rFonts w:ascii="Times New Roman" w:hAnsi="Times New Roman" w:cs="Times New Roman"/>
              </w:rPr>
              <w:t>–</w:t>
            </w:r>
            <w:r>
              <w:rPr>
                <w:rFonts w:ascii="Times New Roman" w:hAnsi="Times New Roman" w:cs="Times New Roman"/>
              </w:rPr>
              <w:t>2227</w:t>
            </w:r>
          </w:p>
        </w:tc>
        <w:tc>
          <w:tcPr>
            <w:tcW w:w="3209" w:type="dxa"/>
            <w:tcBorders>
              <w:top w:val="nil"/>
              <w:bottom w:val="nil"/>
            </w:tcBorders>
          </w:tcPr>
          <w:p w14:paraId="67C6C434" w14:textId="2BA04FDB"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4358B7" w14:paraId="4C8555AC" w14:textId="77777777" w:rsidTr="00095A1C">
        <w:tc>
          <w:tcPr>
            <w:tcW w:w="1189" w:type="dxa"/>
            <w:tcBorders>
              <w:top w:val="nil"/>
              <w:bottom w:val="nil"/>
            </w:tcBorders>
          </w:tcPr>
          <w:p w14:paraId="7C7E7928"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CO</m:t>
                        </m:r>
                      </m:e>
                      <m:sub>
                        <m:r>
                          <m:rPr>
                            <m:sty m:val="p"/>
                          </m:rPr>
                          <w:rPr>
                            <w:rFonts w:ascii="Cambria Math" w:hAnsi="Cambria Math" w:cs="Times New Roman"/>
                          </w:rPr>
                          <m:t>2</m:t>
                        </m:r>
                      </m:sub>
                    </m:sSub>
                  </m:sub>
                  <m:sup>
                    <m:r>
                      <w:rPr>
                        <w:rFonts w:ascii="Cambria Math" w:hAnsi="Cambria Math" w:cs="Times New Roman"/>
                      </w:rPr>
                      <m:t>v</m:t>
                    </m:r>
                  </m:sup>
                </m:sSubSup>
              </m:oMath>
            </m:oMathPara>
          </w:p>
        </w:tc>
        <w:tc>
          <w:tcPr>
            <w:tcW w:w="1500" w:type="dxa"/>
            <w:tcBorders>
              <w:top w:val="nil"/>
              <w:bottom w:val="nil"/>
            </w:tcBorders>
          </w:tcPr>
          <w:p w14:paraId="1AFAEAAB"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270974C5"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74–20000</w:t>
            </w:r>
          </w:p>
        </w:tc>
        <w:tc>
          <w:tcPr>
            <w:tcW w:w="1559" w:type="dxa"/>
            <w:tcBorders>
              <w:top w:val="nil"/>
              <w:bottom w:val="nil"/>
            </w:tcBorders>
          </w:tcPr>
          <w:p w14:paraId="30D16A75" w14:textId="77777777" w:rsidR="00715FB3" w:rsidRPr="000B6300" w:rsidRDefault="00715FB3" w:rsidP="000B6300">
            <w:pPr>
              <w:jc w:val="right"/>
              <w:rPr>
                <w:rFonts w:ascii="Times New Roman" w:hAnsi="Times New Roman" w:cs="Times New Roman"/>
              </w:rPr>
            </w:pPr>
            <w:r>
              <w:rPr>
                <w:rFonts w:ascii="Times New Roman" w:hAnsi="Times New Roman" w:cs="Times New Roman"/>
              </w:rPr>
              <w:t>31–2227</w:t>
            </w:r>
          </w:p>
        </w:tc>
        <w:tc>
          <w:tcPr>
            <w:tcW w:w="3209" w:type="dxa"/>
            <w:tcBorders>
              <w:top w:val="nil"/>
              <w:bottom w:val="nil"/>
            </w:tcBorders>
          </w:tcPr>
          <w:p w14:paraId="6CEDC984" w14:textId="7210B235"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4358B7" w14:paraId="02AF9123" w14:textId="77777777" w:rsidTr="00095A1C">
        <w:tc>
          <w:tcPr>
            <w:tcW w:w="1189" w:type="dxa"/>
            <w:tcBorders>
              <w:top w:val="nil"/>
              <w:bottom w:val="nil"/>
            </w:tcBorders>
          </w:tcPr>
          <w:p w14:paraId="5D61B91C"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CH</m:t>
                        </m:r>
                      </m:e>
                      <m:sub>
                        <m:r>
                          <m:rPr>
                            <m:sty m:val="p"/>
                          </m:rPr>
                          <w:rPr>
                            <w:rFonts w:ascii="Cambria Math" w:hAnsi="Cambria Math" w:cs="Times New Roman"/>
                          </w:rPr>
                          <m:t>4</m:t>
                        </m:r>
                      </m:sub>
                    </m:sSub>
                  </m:sub>
                  <m:sup>
                    <m:r>
                      <w:rPr>
                        <w:rFonts w:ascii="Cambria Math" w:hAnsi="Cambria Math" w:cs="Times New Roman"/>
                      </w:rPr>
                      <m:t>v</m:t>
                    </m:r>
                  </m:sup>
                </m:sSubSup>
              </m:oMath>
            </m:oMathPara>
          </w:p>
        </w:tc>
        <w:tc>
          <w:tcPr>
            <w:tcW w:w="1500" w:type="dxa"/>
            <w:tcBorders>
              <w:top w:val="nil"/>
              <w:bottom w:val="nil"/>
            </w:tcBorders>
          </w:tcPr>
          <w:p w14:paraId="090748CF"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7780D44F"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46–20000</w:t>
            </w:r>
          </w:p>
        </w:tc>
        <w:tc>
          <w:tcPr>
            <w:tcW w:w="1559" w:type="dxa"/>
            <w:tcBorders>
              <w:top w:val="nil"/>
              <w:bottom w:val="nil"/>
            </w:tcBorders>
          </w:tcPr>
          <w:p w14:paraId="245DD3DC" w14:textId="77777777" w:rsidR="00715FB3" w:rsidRPr="000B6300" w:rsidRDefault="00715FB3" w:rsidP="000B6300">
            <w:pPr>
              <w:jc w:val="right"/>
              <w:rPr>
                <w:rFonts w:ascii="Times New Roman" w:hAnsi="Times New Roman" w:cs="Times New Roman"/>
              </w:rPr>
            </w:pPr>
            <w:r>
              <w:rPr>
                <w:rFonts w:ascii="Times New Roman" w:hAnsi="Times New Roman" w:cs="Times New Roman"/>
              </w:rPr>
              <w:t>-82–2227</w:t>
            </w:r>
          </w:p>
        </w:tc>
        <w:tc>
          <w:tcPr>
            <w:tcW w:w="3209" w:type="dxa"/>
            <w:tcBorders>
              <w:top w:val="nil"/>
              <w:bottom w:val="nil"/>
            </w:tcBorders>
          </w:tcPr>
          <w:p w14:paraId="3E956DD2" w14:textId="393935F2"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4358B7" w14:paraId="02A9BDF2" w14:textId="77777777" w:rsidTr="00095A1C">
        <w:tc>
          <w:tcPr>
            <w:tcW w:w="1189" w:type="dxa"/>
            <w:tcBorders>
              <w:top w:val="nil"/>
              <w:bottom w:val="nil"/>
            </w:tcBorders>
          </w:tcPr>
          <w:p w14:paraId="57ACF0F1"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S</m:t>
                        </m:r>
                      </m:e>
                      <m:sub>
                        <m:r>
                          <m:rPr>
                            <m:sty m:val="p"/>
                          </m:rPr>
                          <w:rPr>
                            <w:rFonts w:ascii="Cambria Math" w:hAnsi="Cambria Math" w:cs="Times New Roman"/>
                          </w:rPr>
                          <m:t>2</m:t>
                        </m:r>
                      </m:sub>
                    </m:sSub>
                  </m:sub>
                  <m:sup>
                    <m:r>
                      <w:rPr>
                        <w:rFonts w:ascii="Cambria Math" w:hAnsi="Cambria Math" w:cs="Times New Roman"/>
                      </w:rPr>
                      <m:t>v</m:t>
                    </m:r>
                  </m:sup>
                </m:sSubSup>
              </m:oMath>
            </m:oMathPara>
          </w:p>
        </w:tc>
        <w:tc>
          <w:tcPr>
            <w:tcW w:w="1500" w:type="dxa"/>
            <w:tcBorders>
              <w:top w:val="nil"/>
              <w:bottom w:val="nil"/>
            </w:tcBorders>
          </w:tcPr>
          <w:p w14:paraId="20A431CF"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56178706"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73–20000</w:t>
            </w:r>
          </w:p>
        </w:tc>
        <w:tc>
          <w:tcPr>
            <w:tcW w:w="1559" w:type="dxa"/>
            <w:tcBorders>
              <w:top w:val="nil"/>
              <w:bottom w:val="nil"/>
            </w:tcBorders>
          </w:tcPr>
          <w:p w14:paraId="5FA3CD31" w14:textId="77777777" w:rsidR="00715FB3" w:rsidRPr="000B6300" w:rsidRDefault="00715FB3" w:rsidP="000B6300">
            <w:pPr>
              <w:jc w:val="right"/>
              <w:rPr>
                <w:rFonts w:ascii="Times New Roman" w:hAnsi="Times New Roman" w:cs="Times New Roman"/>
              </w:rPr>
            </w:pPr>
            <w:r>
              <w:rPr>
                <w:rFonts w:ascii="Times New Roman" w:hAnsi="Times New Roman" w:cs="Times New Roman"/>
              </w:rPr>
              <w:t>-65–2227</w:t>
            </w:r>
          </w:p>
        </w:tc>
        <w:tc>
          <w:tcPr>
            <w:tcW w:w="3209" w:type="dxa"/>
            <w:tcBorders>
              <w:top w:val="nil"/>
              <w:bottom w:val="nil"/>
            </w:tcBorders>
          </w:tcPr>
          <w:p w14:paraId="2A03ACBD" w14:textId="7C1B9C2A"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4358B7" w14:paraId="4DEDF081" w14:textId="77777777" w:rsidTr="00095A1C">
        <w:tc>
          <w:tcPr>
            <w:tcW w:w="1189" w:type="dxa"/>
            <w:tcBorders>
              <w:top w:val="nil"/>
              <w:bottom w:val="nil"/>
            </w:tcBorders>
          </w:tcPr>
          <w:p w14:paraId="1BC03095"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SO</m:t>
                        </m:r>
                      </m:e>
                      <m:sub>
                        <m:r>
                          <m:rPr>
                            <m:sty m:val="p"/>
                          </m:rPr>
                          <w:rPr>
                            <w:rFonts w:ascii="Cambria Math" w:hAnsi="Cambria Math" w:cs="Times New Roman"/>
                          </w:rPr>
                          <m:t>2</m:t>
                        </m:r>
                      </m:sub>
                    </m:sSub>
                  </m:sub>
                  <m:sup>
                    <m:r>
                      <w:rPr>
                        <w:rFonts w:ascii="Cambria Math" w:hAnsi="Cambria Math" w:cs="Times New Roman"/>
                      </w:rPr>
                      <m:t>v</m:t>
                    </m:r>
                  </m:sup>
                </m:sSubSup>
              </m:oMath>
            </m:oMathPara>
          </w:p>
        </w:tc>
        <w:tc>
          <w:tcPr>
            <w:tcW w:w="1500" w:type="dxa"/>
            <w:tcBorders>
              <w:top w:val="nil"/>
              <w:bottom w:val="nil"/>
            </w:tcBorders>
          </w:tcPr>
          <w:p w14:paraId="3714767B"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271228EC"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78–20000</w:t>
            </w:r>
          </w:p>
        </w:tc>
        <w:tc>
          <w:tcPr>
            <w:tcW w:w="1559" w:type="dxa"/>
            <w:tcBorders>
              <w:top w:val="nil"/>
              <w:bottom w:val="nil"/>
            </w:tcBorders>
          </w:tcPr>
          <w:p w14:paraId="7EB8B036"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158–2227</w:t>
            </w:r>
          </w:p>
        </w:tc>
        <w:tc>
          <w:tcPr>
            <w:tcW w:w="3209" w:type="dxa"/>
            <w:tcBorders>
              <w:top w:val="nil"/>
              <w:bottom w:val="nil"/>
            </w:tcBorders>
          </w:tcPr>
          <w:p w14:paraId="0E4CF697" w14:textId="0FD45C0D" w:rsidR="00715FB3" w:rsidRPr="000B6300" w:rsidRDefault="00715FB3" w:rsidP="00095A1C">
            <w:pPr>
              <w:rPr>
                <w:rFonts w:ascii="Times New Roman" w:hAnsi="Times New Roman" w:cs="Times New Roman"/>
              </w:rPr>
            </w:pPr>
            <w:r>
              <w:rPr>
                <w:rFonts w:ascii="Times New Roman" w:hAnsi="Times New Roman" w:cs="Times New Roman"/>
              </w:rPr>
              <w:t xml:space="preserve">Modified from </w:t>
            </w:r>
            <w:r w:rsidR="0013038B">
              <w:rPr>
                <w:rFonts w:ascii="Times New Roman" w:hAnsi="Times New Roman" w:cs="Times New Roman"/>
              </w:rPr>
              <w:fldChar w:fldCharType="begin" w:fldLock="1"/>
            </w:r>
            <w:r w:rsidR="0013038B">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13038B">
              <w:rPr>
                <w:rFonts w:ascii="Times New Roman" w:hAnsi="Times New Roman" w:cs="Times New Roman"/>
              </w:rPr>
              <w:fldChar w:fldCharType="separate"/>
            </w:r>
            <w:r w:rsidR="0013038B" w:rsidRPr="003B101C">
              <w:rPr>
                <w:rFonts w:ascii="Times New Roman" w:hAnsi="Times New Roman" w:cs="Times New Roman"/>
                <w:noProof/>
              </w:rPr>
              <w:t xml:space="preserve">Shi and Saxena </w:t>
            </w:r>
            <w:r w:rsidR="0013038B">
              <w:rPr>
                <w:rFonts w:ascii="Times New Roman" w:hAnsi="Times New Roman" w:cs="Times New Roman"/>
                <w:noProof/>
              </w:rPr>
              <w:t>(</w:t>
            </w:r>
            <w:r w:rsidR="0013038B" w:rsidRPr="003B101C">
              <w:rPr>
                <w:rFonts w:ascii="Times New Roman" w:hAnsi="Times New Roman" w:cs="Times New Roman"/>
                <w:noProof/>
              </w:rPr>
              <w:t>1992)</w:t>
            </w:r>
            <w:r w:rsidR="0013038B">
              <w:rPr>
                <w:rFonts w:ascii="Times New Roman" w:hAnsi="Times New Roman" w:cs="Times New Roman"/>
              </w:rPr>
              <w:fldChar w:fldCharType="end"/>
            </w:r>
            <w:r w:rsidR="00095A1C">
              <w:rPr>
                <w:rFonts w:ascii="Times New Roman" w:hAnsi="Times New Roman" w:cs="Times New Roman"/>
              </w:rPr>
              <w:t xml:space="preserve"> as in </w:t>
            </w:r>
            <w:r w:rsidR="00095A1C">
              <w:rPr>
                <w:rFonts w:ascii="Times New Roman" w:hAnsi="Times New Roman" w:cs="Times New Roman"/>
              </w:rPr>
              <w:fldChar w:fldCharType="begin" w:fldLock="1"/>
            </w:r>
            <w:r w:rsidR="003910EA">
              <w:rPr>
                <w:rFonts w:ascii="Times New Roman" w:hAnsi="Times New Roman" w:cs="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095A1C">
              <w:rPr>
                <w:rFonts w:ascii="Times New Roman" w:hAnsi="Times New Roman" w:cs="Times New Roman"/>
              </w:rPr>
              <w:fldChar w:fldCharType="separate"/>
            </w:r>
            <w:r w:rsidR="00095A1C" w:rsidRPr="00095A1C">
              <w:rPr>
                <w:rFonts w:ascii="Times New Roman" w:hAnsi="Times New Roman" w:cs="Times New Roman"/>
                <w:noProof/>
              </w:rPr>
              <w:t xml:space="preserve">Hughes et al. </w:t>
            </w:r>
            <w:r w:rsidR="00095A1C">
              <w:rPr>
                <w:rFonts w:ascii="Times New Roman" w:hAnsi="Times New Roman" w:cs="Times New Roman"/>
                <w:noProof/>
              </w:rPr>
              <w:t>(</w:t>
            </w:r>
            <w:r w:rsidR="00095A1C" w:rsidRPr="00095A1C">
              <w:rPr>
                <w:rFonts w:ascii="Times New Roman" w:hAnsi="Times New Roman" w:cs="Times New Roman"/>
                <w:noProof/>
              </w:rPr>
              <w:t>2023)</w:t>
            </w:r>
            <w:r w:rsidR="00095A1C">
              <w:rPr>
                <w:rFonts w:ascii="Times New Roman" w:hAnsi="Times New Roman" w:cs="Times New Roman"/>
              </w:rPr>
              <w:fldChar w:fldCharType="end"/>
            </w:r>
          </w:p>
        </w:tc>
      </w:tr>
      <w:tr w:rsidR="004358B7" w14:paraId="4620C690" w14:textId="77777777" w:rsidTr="00095A1C">
        <w:tc>
          <w:tcPr>
            <w:tcW w:w="1189" w:type="dxa"/>
            <w:tcBorders>
              <w:top w:val="nil"/>
            </w:tcBorders>
          </w:tcPr>
          <w:p w14:paraId="4B8377C6"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sSub>
                      <m:sSubPr>
                        <m:ctrlPr>
                          <w:rPr>
                            <w:rFonts w:ascii="Cambria Math" w:hAnsi="Cambria Math" w:cs="Times New Roman"/>
                            <w:iCs/>
                          </w:rPr>
                        </m:ctrlPr>
                      </m:sSubPr>
                      <m:e>
                        <m:r>
                          <m:rPr>
                            <m:sty m:val="p"/>
                          </m:rPr>
                          <w:rPr>
                            <w:rFonts w:ascii="Cambria Math" w:hAnsi="Cambria Math" w:cs="Times New Roman"/>
                          </w:rPr>
                          <m:t>H</m:t>
                        </m:r>
                      </m:e>
                      <m:sub>
                        <m:r>
                          <m:rPr>
                            <m:sty m:val="p"/>
                          </m:rPr>
                          <w:rPr>
                            <w:rFonts w:ascii="Cambria Math" w:hAnsi="Cambria Math" w:cs="Times New Roman"/>
                          </w:rPr>
                          <m:t>2</m:t>
                        </m:r>
                      </m:sub>
                    </m:sSub>
                    <m:r>
                      <m:rPr>
                        <m:sty m:val="p"/>
                      </m:rPr>
                      <w:rPr>
                        <w:rFonts w:ascii="Cambria Math" w:hAnsi="Cambria Math" w:cs="Times New Roman"/>
                      </w:rPr>
                      <m:t>S</m:t>
                    </m:r>
                  </m:sub>
                  <m:sup>
                    <m:r>
                      <w:rPr>
                        <w:rFonts w:ascii="Cambria Math" w:hAnsi="Cambria Math" w:cs="Times New Roman"/>
                      </w:rPr>
                      <m:t>v</m:t>
                    </m:r>
                  </m:sup>
                </m:sSubSup>
              </m:oMath>
            </m:oMathPara>
          </w:p>
        </w:tc>
        <w:tc>
          <w:tcPr>
            <w:tcW w:w="1500" w:type="dxa"/>
            <w:tcBorders>
              <w:top w:val="nil"/>
            </w:tcBorders>
          </w:tcPr>
          <w:p w14:paraId="0D96CDF6"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tcBorders>
          </w:tcPr>
          <w:p w14:paraId="6D680079"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90–20000</w:t>
            </w:r>
          </w:p>
        </w:tc>
        <w:tc>
          <w:tcPr>
            <w:tcW w:w="1559" w:type="dxa"/>
            <w:tcBorders>
              <w:top w:val="nil"/>
            </w:tcBorders>
          </w:tcPr>
          <w:p w14:paraId="49E7254E"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101–2227</w:t>
            </w:r>
          </w:p>
        </w:tc>
        <w:tc>
          <w:tcPr>
            <w:tcW w:w="3209" w:type="dxa"/>
            <w:tcBorders>
              <w:top w:val="nil"/>
            </w:tcBorders>
          </w:tcPr>
          <w:p w14:paraId="438F0B36" w14:textId="4C0B123C" w:rsidR="00715FB3" w:rsidRPr="000B6300" w:rsidRDefault="00715FB3" w:rsidP="00095A1C">
            <w:pPr>
              <w:rPr>
                <w:rFonts w:ascii="Times New Roman" w:hAnsi="Times New Roman" w:cs="Times New Roman"/>
              </w:rPr>
            </w:pPr>
            <w:r>
              <w:rPr>
                <w:rFonts w:ascii="Times New Roman" w:hAnsi="Times New Roman" w:cs="Times New Roman"/>
              </w:rPr>
              <w:t xml:space="preserve">Modified from </w:t>
            </w:r>
            <w:r w:rsidR="0013038B">
              <w:rPr>
                <w:rFonts w:ascii="Times New Roman" w:hAnsi="Times New Roman" w:cs="Times New Roman"/>
              </w:rPr>
              <w:fldChar w:fldCharType="begin" w:fldLock="1"/>
            </w:r>
            <w:r w:rsidR="0013038B">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13038B">
              <w:rPr>
                <w:rFonts w:ascii="Times New Roman" w:hAnsi="Times New Roman" w:cs="Times New Roman"/>
              </w:rPr>
              <w:fldChar w:fldCharType="separate"/>
            </w:r>
            <w:r w:rsidR="0013038B" w:rsidRPr="003B101C">
              <w:rPr>
                <w:rFonts w:ascii="Times New Roman" w:hAnsi="Times New Roman" w:cs="Times New Roman"/>
                <w:noProof/>
              </w:rPr>
              <w:t xml:space="preserve">Shi and Saxena </w:t>
            </w:r>
            <w:r w:rsidR="0013038B">
              <w:rPr>
                <w:rFonts w:ascii="Times New Roman" w:hAnsi="Times New Roman" w:cs="Times New Roman"/>
                <w:noProof/>
              </w:rPr>
              <w:t>(</w:t>
            </w:r>
            <w:r w:rsidR="0013038B" w:rsidRPr="003B101C">
              <w:rPr>
                <w:rFonts w:ascii="Times New Roman" w:hAnsi="Times New Roman" w:cs="Times New Roman"/>
                <w:noProof/>
              </w:rPr>
              <w:t>1992)</w:t>
            </w:r>
            <w:r w:rsidR="0013038B">
              <w:rPr>
                <w:rFonts w:ascii="Times New Roman" w:hAnsi="Times New Roman" w:cs="Times New Roman"/>
              </w:rPr>
              <w:fldChar w:fldCharType="end"/>
            </w:r>
            <w:r w:rsidR="00095A1C">
              <w:rPr>
                <w:rFonts w:ascii="Times New Roman" w:hAnsi="Times New Roman" w:cs="Times New Roman"/>
              </w:rPr>
              <w:t xml:space="preserve"> for this study</w:t>
            </w:r>
          </w:p>
        </w:tc>
      </w:tr>
      <w:tr w:rsidR="004358B7" w14:paraId="0753829E" w14:textId="77777777" w:rsidTr="00095A1C">
        <w:tc>
          <w:tcPr>
            <w:tcW w:w="1189" w:type="dxa"/>
            <w:tcBorders>
              <w:top w:val="nil"/>
            </w:tcBorders>
          </w:tcPr>
          <w:p w14:paraId="66F780CE" w14:textId="77777777" w:rsidR="00715FB3" w:rsidRPr="00C55C46" w:rsidRDefault="00063B50" w:rsidP="000B6300">
            <w:pPr>
              <w:jc w:val="both"/>
              <w:rPr>
                <w:rFonts w:ascii="Times New Roman" w:eastAsia="Calibri" w:hAnsi="Times New Roman" w:cs="Times New Roman"/>
              </w:rPr>
            </w:pPr>
            <m:oMathPara>
              <m:oMath>
                <m:sSubSup>
                  <m:sSubSupPr>
                    <m:ctrlPr>
                      <w:rPr>
                        <w:rFonts w:ascii="Cambria Math" w:hAnsi="Cambria Math" w:cs="Times New Roman"/>
                        <w:i/>
                      </w:rPr>
                    </m:ctrlPr>
                  </m:sSubSupPr>
                  <m:e>
                    <m:r>
                      <w:rPr>
                        <w:rFonts w:ascii="Cambria Math" w:hAnsi="Cambria Math" w:cs="Times New Roman"/>
                      </w:rPr>
                      <m:t>γ</m:t>
                    </m:r>
                  </m:e>
                  <m:sub>
                    <m:r>
                      <m:rPr>
                        <m:sty m:val="p"/>
                      </m:rPr>
                      <w:rPr>
                        <w:rFonts w:ascii="Cambria Math" w:hAnsi="Cambria Math" w:cs="Times New Roman"/>
                      </w:rPr>
                      <m:t>OCS</m:t>
                    </m:r>
                  </m:sub>
                  <m:sup>
                    <m:r>
                      <w:rPr>
                        <w:rFonts w:ascii="Cambria Math" w:hAnsi="Cambria Math" w:cs="Times New Roman"/>
                      </w:rPr>
                      <m:t>v</m:t>
                    </m:r>
                  </m:sup>
                </m:sSubSup>
              </m:oMath>
            </m:oMathPara>
          </w:p>
        </w:tc>
        <w:tc>
          <w:tcPr>
            <w:tcW w:w="1500" w:type="dxa"/>
            <w:tcBorders>
              <w:top w:val="nil"/>
            </w:tcBorders>
          </w:tcPr>
          <w:p w14:paraId="401556DF"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tcBorders>
          </w:tcPr>
          <w:p w14:paraId="0DB28268"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66–20000</w:t>
            </w:r>
          </w:p>
        </w:tc>
        <w:tc>
          <w:tcPr>
            <w:tcW w:w="1559" w:type="dxa"/>
            <w:tcBorders>
              <w:top w:val="nil"/>
            </w:tcBorders>
          </w:tcPr>
          <w:p w14:paraId="144177A5"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105–2227</w:t>
            </w:r>
          </w:p>
        </w:tc>
        <w:tc>
          <w:tcPr>
            <w:tcW w:w="3209" w:type="dxa"/>
            <w:tcBorders>
              <w:top w:val="nil"/>
            </w:tcBorders>
          </w:tcPr>
          <w:p w14:paraId="2E97C0B2" w14:textId="5CD88BD9" w:rsidR="00715FB3" w:rsidRPr="000B6300" w:rsidRDefault="0013038B" w:rsidP="000B6300">
            <w:pPr>
              <w:jc w:val="both"/>
              <w:rPr>
                <w:rFonts w:ascii="Times New Roman" w:hAnsi="Times New Roman" w:cs="Times New Roman"/>
              </w:rPr>
            </w:pPr>
            <w:r>
              <w:rPr>
                <w:rFonts w:ascii="Times New Roman" w:hAnsi="Times New Roman" w:cs="Times New Roman"/>
              </w:rPr>
              <w:fldChar w:fldCharType="begin" w:fldLock="1"/>
            </w:r>
            <w:r>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Shi and Saxena </w:t>
            </w:r>
            <w:r>
              <w:rPr>
                <w:rFonts w:ascii="Times New Roman" w:hAnsi="Times New Roman" w:cs="Times New Roman"/>
                <w:noProof/>
              </w:rPr>
              <w:t>(</w:t>
            </w:r>
            <w:r w:rsidRPr="003B101C">
              <w:rPr>
                <w:rFonts w:ascii="Times New Roman" w:hAnsi="Times New Roman" w:cs="Times New Roman"/>
                <w:noProof/>
              </w:rPr>
              <w:t>1992)</w:t>
            </w:r>
            <w:r>
              <w:rPr>
                <w:rFonts w:ascii="Times New Roman" w:hAnsi="Times New Roman" w:cs="Times New Roman"/>
              </w:rPr>
              <w:fldChar w:fldCharType="end"/>
            </w:r>
          </w:p>
        </w:tc>
      </w:tr>
      <w:tr w:rsidR="00715FB3" w14:paraId="3B7D9F63" w14:textId="77777777" w:rsidTr="000B6300">
        <w:tc>
          <w:tcPr>
            <w:tcW w:w="9016" w:type="dxa"/>
            <w:gridSpan w:val="5"/>
          </w:tcPr>
          <w:p w14:paraId="3231CC76" w14:textId="485724DE" w:rsidR="00715FB3" w:rsidRPr="006B6E47" w:rsidRDefault="00715FB3" w:rsidP="000B6300">
            <w:pPr>
              <w:jc w:val="both"/>
              <w:rPr>
                <w:rFonts w:ascii="Times New Roman" w:hAnsi="Times New Roman" w:cs="Times New Roman"/>
                <w:i/>
                <w:iCs/>
              </w:rPr>
            </w:pPr>
            <w:r w:rsidRPr="000B6300">
              <w:rPr>
                <w:rFonts w:ascii="Times New Roman" w:eastAsia="Calibri" w:hAnsi="Times New Roman" w:cs="Times New Roman"/>
                <w:i/>
                <w:iCs/>
              </w:rPr>
              <w:t>Equilibrium constants for homogeneous vapor equilibria</w:t>
            </w:r>
          </w:p>
        </w:tc>
      </w:tr>
      <w:tr w:rsidR="004358B7" w14:paraId="5A93943F" w14:textId="77777777" w:rsidTr="00095A1C">
        <w:tc>
          <w:tcPr>
            <w:tcW w:w="1189" w:type="dxa"/>
            <w:tcBorders>
              <w:bottom w:val="nil"/>
            </w:tcBorders>
          </w:tcPr>
          <w:p w14:paraId="5D586E9B"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C</m:t>
                    </m:r>
                  </m:sub>
                </m:sSub>
              </m:oMath>
            </m:oMathPara>
          </w:p>
        </w:tc>
        <w:tc>
          <w:tcPr>
            <w:tcW w:w="1500" w:type="dxa"/>
            <w:tcBorders>
              <w:bottom w:val="nil"/>
            </w:tcBorders>
          </w:tcPr>
          <w:p w14:paraId="249821C1"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bottom w:val="nil"/>
            </w:tcBorders>
          </w:tcPr>
          <w:p w14:paraId="7B539CBC"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bottom w:val="nil"/>
            </w:tcBorders>
            <w:shd w:val="clear" w:color="auto" w:fill="auto"/>
          </w:tcPr>
          <w:p w14:paraId="51B0DE45" w14:textId="77777777" w:rsidR="00715FB3" w:rsidRPr="000B6300" w:rsidRDefault="00715FB3" w:rsidP="000B6300">
            <w:pPr>
              <w:jc w:val="both"/>
              <w:rPr>
                <w:rFonts w:ascii="Times New Roman" w:hAnsi="Times New Roman" w:cs="Times New Roman"/>
              </w:rPr>
            </w:pPr>
            <w:r>
              <w:rPr>
                <w:rFonts w:ascii="Times New Roman" w:hAnsi="Times New Roman" w:cs="Times New Roman"/>
              </w:rPr>
              <w:t>Not stated</w:t>
            </w:r>
          </w:p>
        </w:tc>
        <w:tc>
          <w:tcPr>
            <w:tcW w:w="3209" w:type="dxa"/>
            <w:tcBorders>
              <w:bottom w:val="nil"/>
            </w:tcBorders>
          </w:tcPr>
          <w:p w14:paraId="094BCE38" w14:textId="430A5F1E" w:rsidR="00715FB3" w:rsidRPr="006B6E47" w:rsidRDefault="0013038B" w:rsidP="000B6300">
            <w:pPr>
              <w:jc w:val="both"/>
              <w:rPr>
                <w:rFonts w:ascii="Times New Roman" w:hAnsi="Times New Roman" w:cs="Times New Roman"/>
                <w:i/>
                <w:iCs/>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Ohmoto and Kerrick </w:t>
            </w:r>
            <w:r>
              <w:rPr>
                <w:rFonts w:ascii="Times New Roman" w:hAnsi="Times New Roman" w:cs="Times New Roman"/>
                <w:noProof/>
              </w:rPr>
              <w:t>(</w:t>
            </w:r>
            <w:r w:rsidRPr="003B101C">
              <w:rPr>
                <w:rFonts w:ascii="Times New Roman" w:hAnsi="Times New Roman" w:cs="Times New Roman"/>
                <w:noProof/>
              </w:rPr>
              <w:t>1977)</w:t>
            </w:r>
            <w:r>
              <w:rPr>
                <w:rFonts w:ascii="Times New Roman" w:hAnsi="Times New Roman" w:cs="Times New Roman"/>
              </w:rPr>
              <w:fldChar w:fldCharType="end"/>
            </w:r>
          </w:p>
        </w:tc>
      </w:tr>
      <w:tr w:rsidR="004358B7" w14:paraId="44C4DC87" w14:textId="77777777" w:rsidTr="00095A1C">
        <w:tc>
          <w:tcPr>
            <w:tcW w:w="1189" w:type="dxa"/>
            <w:tcBorders>
              <w:top w:val="nil"/>
              <w:bottom w:val="nil"/>
            </w:tcBorders>
          </w:tcPr>
          <w:p w14:paraId="073995B8"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H</m:t>
                    </m:r>
                  </m:sub>
                </m:sSub>
              </m:oMath>
            </m:oMathPara>
          </w:p>
        </w:tc>
        <w:tc>
          <w:tcPr>
            <w:tcW w:w="1500" w:type="dxa"/>
            <w:tcBorders>
              <w:top w:val="nil"/>
              <w:bottom w:val="nil"/>
            </w:tcBorders>
          </w:tcPr>
          <w:p w14:paraId="4731569C"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4AD4834D"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top w:val="nil"/>
              <w:bottom w:val="nil"/>
            </w:tcBorders>
            <w:shd w:val="clear" w:color="auto" w:fill="auto"/>
          </w:tcPr>
          <w:p w14:paraId="55BDF8A3"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t>Not stated</w:t>
            </w:r>
          </w:p>
        </w:tc>
        <w:tc>
          <w:tcPr>
            <w:tcW w:w="3209" w:type="dxa"/>
            <w:tcBorders>
              <w:top w:val="nil"/>
              <w:bottom w:val="nil"/>
            </w:tcBorders>
          </w:tcPr>
          <w:p w14:paraId="73F872FB"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Ohmoto and Kerrick </w:t>
            </w:r>
            <w:r>
              <w:rPr>
                <w:rFonts w:ascii="Times New Roman" w:hAnsi="Times New Roman" w:cs="Times New Roman"/>
                <w:noProof/>
              </w:rPr>
              <w:t>(</w:t>
            </w:r>
            <w:r w:rsidRPr="003B101C">
              <w:rPr>
                <w:rFonts w:ascii="Times New Roman" w:hAnsi="Times New Roman" w:cs="Times New Roman"/>
                <w:noProof/>
              </w:rPr>
              <w:t>1977)</w:t>
            </w:r>
            <w:r>
              <w:rPr>
                <w:rFonts w:ascii="Times New Roman" w:hAnsi="Times New Roman" w:cs="Times New Roman"/>
              </w:rPr>
              <w:fldChar w:fldCharType="end"/>
            </w:r>
          </w:p>
        </w:tc>
      </w:tr>
      <w:tr w:rsidR="004358B7" w14:paraId="4F739DF8" w14:textId="77777777" w:rsidTr="00095A1C">
        <w:tc>
          <w:tcPr>
            <w:tcW w:w="1189" w:type="dxa"/>
            <w:tcBorders>
              <w:top w:val="nil"/>
              <w:bottom w:val="nil"/>
            </w:tcBorders>
          </w:tcPr>
          <w:p w14:paraId="08A08BC9"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S</m:t>
                    </m:r>
                  </m:sub>
                </m:sSub>
              </m:oMath>
            </m:oMathPara>
          </w:p>
        </w:tc>
        <w:tc>
          <w:tcPr>
            <w:tcW w:w="1500" w:type="dxa"/>
            <w:tcBorders>
              <w:top w:val="nil"/>
              <w:bottom w:val="nil"/>
            </w:tcBorders>
          </w:tcPr>
          <w:p w14:paraId="121F5CD0"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58385347"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top w:val="nil"/>
              <w:bottom w:val="nil"/>
            </w:tcBorders>
            <w:shd w:val="clear" w:color="auto" w:fill="auto"/>
          </w:tcPr>
          <w:p w14:paraId="03DFC215"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t>Not stated</w:t>
            </w:r>
          </w:p>
        </w:tc>
        <w:tc>
          <w:tcPr>
            <w:tcW w:w="3209" w:type="dxa"/>
            <w:tcBorders>
              <w:top w:val="nil"/>
              <w:bottom w:val="nil"/>
            </w:tcBorders>
          </w:tcPr>
          <w:p w14:paraId="3A2559B3"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Ohmoto and Kerrick </w:t>
            </w:r>
            <w:r>
              <w:rPr>
                <w:rFonts w:ascii="Times New Roman" w:hAnsi="Times New Roman" w:cs="Times New Roman"/>
                <w:noProof/>
              </w:rPr>
              <w:t>(</w:t>
            </w:r>
            <w:r w:rsidRPr="003B101C">
              <w:rPr>
                <w:rFonts w:ascii="Times New Roman" w:hAnsi="Times New Roman" w:cs="Times New Roman"/>
                <w:noProof/>
              </w:rPr>
              <w:t>1977)</w:t>
            </w:r>
            <w:r>
              <w:rPr>
                <w:rFonts w:ascii="Times New Roman" w:hAnsi="Times New Roman" w:cs="Times New Roman"/>
              </w:rPr>
              <w:fldChar w:fldCharType="end"/>
            </w:r>
          </w:p>
        </w:tc>
      </w:tr>
      <w:tr w:rsidR="004358B7" w14:paraId="6F71CC6D" w14:textId="77777777" w:rsidTr="00095A1C">
        <w:tc>
          <w:tcPr>
            <w:tcW w:w="1189" w:type="dxa"/>
            <w:tcBorders>
              <w:top w:val="nil"/>
              <w:bottom w:val="nil"/>
            </w:tcBorders>
          </w:tcPr>
          <w:p w14:paraId="7BD72273"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CH</m:t>
                    </m:r>
                  </m:sub>
                </m:sSub>
              </m:oMath>
            </m:oMathPara>
          </w:p>
        </w:tc>
        <w:tc>
          <w:tcPr>
            <w:tcW w:w="1500" w:type="dxa"/>
            <w:tcBorders>
              <w:top w:val="nil"/>
              <w:bottom w:val="nil"/>
            </w:tcBorders>
          </w:tcPr>
          <w:p w14:paraId="075184FA"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5D670D36"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top w:val="nil"/>
              <w:bottom w:val="nil"/>
            </w:tcBorders>
            <w:shd w:val="clear" w:color="auto" w:fill="auto"/>
          </w:tcPr>
          <w:p w14:paraId="5572B8C4"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t>Not stated</w:t>
            </w:r>
          </w:p>
        </w:tc>
        <w:tc>
          <w:tcPr>
            <w:tcW w:w="3209" w:type="dxa"/>
            <w:tcBorders>
              <w:top w:val="nil"/>
              <w:bottom w:val="nil"/>
            </w:tcBorders>
          </w:tcPr>
          <w:p w14:paraId="2D27237A"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Ohmoto and Kerrick </w:t>
            </w:r>
            <w:r>
              <w:rPr>
                <w:rFonts w:ascii="Times New Roman" w:hAnsi="Times New Roman" w:cs="Times New Roman"/>
                <w:noProof/>
              </w:rPr>
              <w:t>(</w:t>
            </w:r>
            <w:r w:rsidRPr="003B101C">
              <w:rPr>
                <w:rFonts w:ascii="Times New Roman" w:hAnsi="Times New Roman" w:cs="Times New Roman"/>
                <w:noProof/>
              </w:rPr>
              <w:t>1977)</w:t>
            </w:r>
            <w:r>
              <w:rPr>
                <w:rFonts w:ascii="Times New Roman" w:hAnsi="Times New Roman" w:cs="Times New Roman"/>
              </w:rPr>
              <w:fldChar w:fldCharType="end"/>
            </w:r>
          </w:p>
        </w:tc>
      </w:tr>
      <w:tr w:rsidR="004358B7" w14:paraId="331D76E5" w14:textId="77777777" w:rsidTr="00095A1C">
        <w:tc>
          <w:tcPr>
            <w:tcW w:w="1189" w:type="dxa"/>
            <w:tcBorders>
              <w:top w:val="nil"/>
              <w:bottom w:val="nil"/>
            </w:tcBorders>
          </w:tcPr>
          <w:p w14:paraId="06F4CE9E"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HS</m:t>
                    </m:r>
                  </m:sub>
                </m:sSub>
              </m:oMath>
            </m:oMathPara>
          </w:p>
        </w:tc>
        <w:tc>
          <w:tcPr>
            <w:tcW w:w="1500" w:type="dxa"/>
            <w:tcBorders>
              <w:top w:val="nil"/>
              <w:bottom w:val="nil"/>
            </w:tcBorders>
          </w:tcPr>
          <w:p w14:paraId="78A73AB1"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bottom w:val="nil"/>
            </w:tcBorders>
          </w:tcPr>
          <w:p w14:paraId="42839A74"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top w:val="nil"/>
              <w:bottom w:val="nil"/>
            </w:tcBorders>
            <w:shd w:val="clear" w:color="auto" w:fill="auto"/>
          </w:tcPr>
          <w:p w14:paraId="4DC91B3F"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t>Not stated</w:t>
            </w:r>
          </w:p>
        </w:tc>
        <w:tc>
          <w:tcPr>
            <w:tcW w:w="3209" w:type="dxa"/>
            <w:tcBorders>
              <w:top w:val="nil"/>
              <w:bottom w:val="nil"/>
            </w:tcBorders>
          </w:tcPr>
          <w:p w14:paraId="37272830"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fldChar w:fldCharType="begin" w:fldLock="1"/>
            </w:r>
            <w:r>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1977)","manualFormatting":"Ohmoto and Kerrick (1977)","plainTextFormattedCitation":"(Ohmoto and Kerrick, 1977)","previouslyFormattedCitation":"(Ohmoto and Kerrick, 1977)"},"properties":{"noteIndex":0},"schema":"https://github.com/citation-style-language/schema/raw/master/csl-citation.json"}</w:instrText>
            </w:r>
            <w:r>
              <w:rPr>
                <w:rFonts w:ascii="Times New Roman" w:hAnsi="Times New Roman" w:cs="Times New Roman"/>
              </w:rPr>
              <w:fldChar w:fldCharType="separate"/>
            </w:r>
            <w:r w:rsidRPr="003B101C">
              <w:rPr>
                <w:rFonts w:ascii="Times New Roman" w:hAnsi="Times New Roman" w:cs="Times New Roman"/>
                <w:noProof/>
              </w:rPr>
              <w:t xml:space="preserve">Ohmoto and Kerrick </w:t>
            </w:r>
            <w:r>
              <w:rPr>
                <w:rFonts w:ascii="Times New Roman" w:hAnsi="Times New Roman" w:cs="Times New Roman"/>
                <w:noProof/>
              </w:rPr>
              <w:t>(</w:t>
            </w:r>
            <w:r w:rsidRPr="003B101C">
              <w:rPr>
                <w:rFonts w:ascii="Times New Roman" w:hAnsi="Times New Roman" w:cs="Times New Roman"/>
                <w:noProof/>
              </w:rPr>
              <w:t>1977)</w:t>
            </w:r>
            <w:r>
              <w:rPr>
                <w:rFonts w:ascii="Times New Roman" w:hAnsi="Times New Roman" w:cs="Times New Roman"/>
              </w:rPr>
              <w:fldChar w:fldCharType="end"/>
            </w:r>
          </w:p>
        </w:tc>
      </w:tr>
      <w:tr w:rsidR="004358B7" w14:paraId="1C60887D" w14:textId="77777777" w:rsidTr="00095A1C">
        <w:tc>
          <w:tcPr>
            <w:tcW w:w="1189" w:type="dxa"/>
            <w:tcBorders>
              <w:top w:val="nil"/>
            </w:tcBorders>
          </w:tcPr>
          <w:p w14:paraId="7861E6CF"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K</m:t>
                    </m:r>
                  </m:e>
                  <m:sub>
                    <m:r>
                      <m:rPr>
                        <m:sty m:val="p"/>
                      </m:rPr>
                      <w:rPr>
                        <w:rFonts w:ascii="Cambria Math" w:eastAsia="Calibri" w:hAnsi="Cambria Math" w:cs="Times New Roman"/>
                      </w:rPr>
                      <m:t>SC</m:t>
                    </m:r>
                  </m:sub>
                </m:sSub>
              </m:oMath>
            </m:oMathPara>
          </w:p>
        </w:tc>
        <w:tc>
          <w:tcPr>
            <w:tcW w:w="1500" w:type="dxa"/>
            <w:tcBorders>
              <w:top w:val="nil"/>
            </w:tcBorders>
          </w:tcPr>
          <w:p w14:paraId="5EE08384" w14:textId="77777777" w:rsidR="00715FB3" w:rsidRDefault="00715FB3" w:rsidP="000B6300">
            <w:pPr>
              <w:jc w:val="center"/>
              <w:rPr>
                <w:rFonts w:ascii="Times New Roman" w:hAnsi="Times New Roman" w:cs="Times New Roman"/>
              </w:rPr>
            </w:pPr>
            <w:r>
              <w:rPr>
                <w:rFonts w:ascii="Times New Roman" w:hAnsi="Times New Roman" w:cs="Times New Roman"/>
              </w:rPr>
              <w:t>n/a</w:t>
            </w:r>
          </w:p>
        </w:tc>
        <w:tc>
          <w:tcPr>
            <w:tcW w:w="1559" w:type="dxa"/>
            <w:tcBorders>
              <w:top w:val="nil"/>
            </w:tcBorders>
          </w:tcPr>
          <w:p w14:paraId="66224394" w14:textId="77777777" w:rsidR="00715FB3" w:rsidRPr="006B6E47" w:rsidRDefault="00715FB3" w:rsidP="000B6300">
            <w:pPr>
              <w:jc w:val="center"/>
              <w:rPr>
                <w:rFonts w:ascii="Times New Roman" w:hAnsi="Times New Roman" w:cs="Times New Roman"/>
                <w:i/>
                <w:iCs/>
              </w:rPr>
            </w:pPr>
            <w:r>
              <w:rPr>
                <w:rFonts w:ascii="Times New Roman" w:hAnsi="Times New Roman" w:cs="Times New Roman"/>
              </w:rPr>
              <w:t>n/a</w:t>
            </w:r>
          </w:p>
        </w:tc>
        <w:tc>
          <w:tcPr>
            <w:tcW w:w="1559" w:type="dxa"/>
            <w:tcBorders>
              <w:top w:val="nil"/>
            </w:tcBorders>
            <w:shd w:val="clear" w:color="auto" w:fill="auto"/>
          </w:tcPr>
          <w:p w14:paraId="4B8782CB" w14:textId="77777777" w:rsidR="00715FB3" w:rsidRPr="000B6300" w:rsidRDefault="00715FB3" w:rsidP="000B6300">
            <w:pPr>
              <w:jc w:val="both"/>
              <w:rPr>
                <w:rFonts w:ascii="Times New Roman" w:hAnsi="Times New Roman" w:cs="Times New Roman"/>
              </w:rPr>
            </w:pPr>
            <w:r>
              <w:rPr>
                <w:rFonts w:ascii="Times New Roman" w:hAnsi="Times New Roman" w:cs="Times New Roman"/>
              </w:rPr>
              <w:t>Not stated</w:t>
            </w:r>
          </w:p>
        </w:tc>
        <w:tc>
          <w:tcPr>
            <w:tcW w:w="3209" w:type="dxa"/>
            <w:tcBorders>
              <w:top w:val="nil"/>
            </w:tcBorders>
          </w:tcPr>
          <w:p w14:paraId="28B19385"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color w:val="000000" w:themeColor="text1"/>
              </w:rPr>
              <w:fldChar w:fldCharType="begin" w:fldLock="1"/>
            </w:r>
            <w:r>
              <w:rPr>
                <w:rFonts w:ascii="Times New Roman" w:hAnsi="Times New Roman" w:cs="Times New Roman"/>
                <w:color w:val="000000" w:themeColor="text1"/>
              </w:rPr>
              <w:instrText>ADDIN CSL_CITATION {"citationItems":[{"id":"ITEM-1","itemData":{"DOI":"10.1016/J.EPSL.2019.05.036","ISSN":"0012-821X","abstract":"The oxidation state of volcanic gas emissions influences the composition of the exosphere and planetary habitability. It is widely considered to be associated with the oxidation state of the melt from which volatiles exsolve. Here, we present a global synthesis of volcanic gas measurements. We define the mean oxidation state of volcanic gas emissions on Earth today and show that, globally, gas oxidation state, relative to rock buffers, is a strong function of emission temperature, increasing by several orders of magnitude as temperature decreases. The trend is independent of melt composition and geodynamic setting. This observation may explain why the mean oxidation state of volcanic gas emissions on Earth has apparently increased since the Archean, without a corresponding shift in melt oxidation state. We argue that progressive cooling of the mantle and the cessation of komatiite generation should have been accompanied by a substantial increase of the oxidation state of volcanic gases around the onset of the Great Oxidation Event. This may have accelerated or facilitated the transition to an oxygen-rich atmosphere. Overall, our data, along with previous work, show that there are no single nor simple relationships between mantle-, magma- and volcanic gas-redox states.","author":[{"dropping-particle":"","family":"Moussallam","given":"Yves","non-dropping-particle":"","parse-names":false,"suffix":""},{"dropping-particle":"","family":"Oppenheimer","given":"Clive","non-dropping-particle":"","parse-names":false,"suffix":""},{"dropping-particle":"","family":"Scaillet","given":"Bruno","non-dropping-particle":"","parse-names":false,"suffix":""}],"container-title":"Earth and Planetary Science Letters","id":"ITEM-1","issued":{"date-parts":[["2019","8","15"]]},"page":"260-267","publisher":"Elsevier","title":"On the relationship between oxidation state and temperature of volcanic gas emissions","type":"article-journal","volume":"520"},"uris":["http://www.mendeley.com/documents/?uuid=7dc6690e-fa67-3cef-9f52-cb87fca63442"]}],"mendeley":{"formattedCitation":"(Moussallam et al., 2019)","manualFormatting":"Moussallam et al. (2019)","plainTextFormattedCitation":"(Moussallam et al., 2019)","previouslyFormattedCitation":"(Moussallam et al., 2019)"},"properties":{"noteIndex":0},"schema":"https://github.com/citation-style-language/schema/raw/master/csl-citation.json"}</w:instrText>
            </w:r>
            <w:r>
              <w:rPr>
                <w:rFonts w:ascii="Times New Roman" w:hAnsi="Times New Roman" w:cs="Times New Roman"/>
                <w:color w:val="000000" w:themeColor="text1"/>
              </w:rPr>
              <w:fldChar w:fldCharType="separate"/>
            </w:r>
            <w:r w:rsidRPr="000F0BD4">
              <w:rPr>
                <w:rFonts w:ascii="Times New Roman" w:hAnsi="Times New Roman" w:cs="Times New Roman"/>
                <w:noProof/>
                <w:color w:val="000000" w:themeColor="text1"/>
              </w:rPr>
              <w:t xml:space="preserve">Moussallam et al. </w:t>
            </w:r>
            <w:r>
              <w:rPr>
                <w:rFonts w:ascii="Times New Roman" w:hAnsi="Times New Roman" w:cs="Times New Roman"/>
                <w:noProof/>
                <w:color w:val="000000" w:themeColor="text1"/>
              </w:rPr>
              <w:t>(</w:t>
            </w:r>
            <w:r w:rsidRPr="000F0BD4">
              <w:rPr>
                <w:rFonts w:ascii="Times New Roman" w:hAnsi="Times New Roman" w:cs="Times New Roman"/>
                <w:noProof/>
                <w:color w:val="000000" w:themeColor="text1"/>
              </w:rPr>
              <w:t>2019)</w:t>
            </w:r>
            <w:r>
              <w:rPr>
                <w:rFonts w:ascii="Times New Roman" w:hAnsi="Times New Roman" w:cs="Times New Roman"/>
                <w:color w:val="000000" w:themeColor="text1"/>
              </w:rPr>
              <w:fldChar w:fldCharType="end"/>
            </w:r>
          </w:p>
        </w:tc>
      </w:tr>
      <w:tr w:rsidR="00715FB3" w14:paraId="6B3F3F77" w14:textId="77777777" w:rsidTr="000B6300">
        <w:tc>
          <w:tcPr>
            <w:tcW w:w="9016" w:type="dxa"/>
            <w:gridSpan w:val="5"/>
          </w:tcPr>
          <w:p w14:paraId="08777E91" w14:textId="5274E41B" w:rsidR="00715FB3" w:rsidRPr="006B6E47" w:rsidRDefault="00473132" w:rsidP="000B6300">
            <w:pPr>
              <w:jc w:val="both"/>
              <w:rPr>
                <w:rFonts w:ascii="Times New Roman" w:hAnsi="Times New Roman" w:cs="Times New Roman"/>
                <w:i/>
                <w:iCs/>
              </w:rPr>
            </w:pPr>
            <w:r>
              <w:rPr>
                <w:rFonts w:ascii="Times New Roman" w:eastAsia="Calibri" w:hAnsi="Times New Roman" w:cs="Times New Roman"/>
                <w:i/>
                <w:iCs/>
              </w:rPr>
              <w:t>Solubilities</w:t>
            </w:r>
          </w:p>
        </w:tc>
      </w:tr>
      <w:tr w:rsidR="004358B7" w14:paraId="47AD73A7" w14:textId="77777777" w:rsidTr="00095A1C">
        <w:tc>
          <w:tcPr>
            <w:tcW w:w="1189" w:type="dxa"/>
            <w:tcBorders>
              <w:bottom w:val="nil"/>
            </w:tcBorders>
          </w:tcPr>
          <w:p w14:paraId="74729A4F" w14:textId="77777777" w:rsidR="00715FB3" w:rsidRPr="00C55C46"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Sup>
                      <m:sSubSupPr>
                        <m:ctrlPr>
                          <w:rPr>
                            <w:rFonts w:ascii="Cambria Math" w:eastAsia="Calibri" w:hAnsi="Cambria Math" w:cs="Times New Roman"/>
                            <w:iCs/>
                          </w:rPr>
                        </m:ctrlPr>
                      </m:sSubSupPr>
                      <m:e>
                        <m:r>
                          <m:rPr>
                            <m:sty m:val="p"/>
                          </m:rPr>
                          <w:rPr>
                            <w:rFonts w:ascii="Cambria Math" w:eastAsia="Calibri" w:hAnsi="Cambria Math" w:cs="Times New Roman"/>
                          </w:rPr>
                          <m:t>CO</m:t>
                        </m:r>
                      </m:e>
                      <m:sub>
                        <m:r>
                          <m:rPr>
                            <m:sty m:val="p"/>
                          </m:rPr>
                          <w:rPr>
                            <w:rFonts w:ascii="Cambria Math" w:eastAsia="Calibri" w:hAnsi="Cambria Math" w:cs="Times New Roman"/>
                          </w:rPr>
                          <m:t>3</m:t>
                        </m:r>
                      </m:sub>
                      <m:sup>
                        <m:r>
                          <m:rPr>
                            <m:sty m:val="p"/>
                          </m:rPr>
                          <w:rPr>
                            <w:rFonts w:ascii="Cambria Math" w:eastAsia="Calibri" w:hAnsi="Cambria Math" w:cs="Times New Roman"/>
                          </w:rPr>
                          <m:t>2-</m:t>
                        </m:r>
                      </m:sup>
                    </m:sSubSup>
                  </m:sub>
                </m:sSub>
              </m:oMath>
            </m:oMathPara>
          </w:p>
        </w:tc>
        <w:tc>
          <w:tcPr>
            <w:tcW w:w="1500" w:type="dxa"/>
            <w:tcBorders>
              <w:bottom w:val="nil"/>
            </w:tcBorders>
          </w:tcPr>
          <w:p w14:paraId="6B96C00F" w14:textId="77777777" w:rsidR="00715FB3" w:rsidRDefault="00715FB3" w:rsidP="000B6300">
            <w:pPr>
              <w:jc w:val="both"/>
              <w:rPr>
                <w:rFonts w:ascii="Times New Roman" w:hAnsi="Times New Roman" w:cs="Times New Roman"/>
              </w:rPr>
            </w:pPr>
            <w:r>
              <w:rPr>
                <w:rFonts w:ascii="Times New Roman" w:hAnsi="Times New Roman" w:cs="Times New Roman"/>
              </w:rPr>
              <w:t>MORB, Hawaiian tholeiite</w:t>
            </w:r>
          </w:p>
        </w:tc>
        <w:tc>
          <w:tcPr>
            <w:tcW w:w="1559" w:type="dxa"/>
            <w:tcBorders>
              <w:bottom w:val="nil"/>
            </w:tcBorders>
          </w:tcPr>
          <w:p w14:paraId="1152E6EE" w14:textId="77777777" w:rsidR="00715FB3" w:rsidRPr="000B6300" w:rsidRDefault="00715FB3" w:rsidP="000B6300">
            <w:pPr>
              <w:jc w:val="right"/>
              <w:rPr>
                <w:rFonts w:ascii="Times New Roman" w:hAnsi="Times New Roman" w:cs="Times New Roman"/>
              </w:rPr>
            </w:pPr>
            <w:r w:rsidRPr="000B6300">
              <w:rPr>
                <w:rFonts w:ascii="Times New Roman" w:hAnsi="Times New Roman" w:cs="Times New Roman"/>
              </w:rPr>
              <w:t>200–15000</w:t>
            </w:r>
          </w:p>
        </w:tc>
        <w:tc>
          <w:tcPr>
            <w:tcW w:w="1559" w:type="dxa"/>
            <w:tcBorders>
              <w:bottom w:val="nil"/>
            </w:tcBorders>
          </w:tcPr>
          <w:p w14:paraId="3471E618" w14:textId="77777777" w:rsidR="00715FB3" w:rsidRPr="000B6300" w:rsidRDefault="00715FB3" w:rsidP="000B6300">
            <w:pPr>
              <w:jc w:val="right"/>
              <w:rPr>
                <w:rFonts w:ascii="Times New Roman" w:hAnsi="Times New Roman" w:cs="Times New Roman"/>
              </w:rPr>
            </w:pPr>
            <w:r>
              <w:rPr>
                <w:rFonts w:ascii="Times New Roman" w:hAnsi="Times New Roman" w:cs="Times New Roman"/>
              </w:rPr>
              <w:t>1200–1600</w:t>
            </w:r>
          </w:p>
        </w:tc>
        <w:tc>
          <w:tcPr>
            <w:tcW w:w="3209" w:type="dxa"/>
            <w:tcBorders>
              <w:bottom w:val="nil"/>
            </w:tcBorders>
          </w:tcPr>
          <w:p w14:paraId="1094F1F3" w14:textId="2FC23032" w:rsidR="00715FB3" w:rsidRPr="000B6300" w:rsidRDefault="00034877" w:rsidP="000B6300">
            <w:pPr>
              <w:jc w:val="both"/>
              <w:rPr>
                <w:rFonts w:ascii="Times New Roman" w:hAnsi="Times New Roman" w:cs="Times New Roman"/>
              </w:rPr>
            </w:pPr>
            <w:r w:rsidRPr="0013038B">
              <w:rPr>
                <w:rFonts w:ascii="Times New Roman" w:hAnsi="Times New Roman" w:cs="Times New Roman"/>
              </w:rPr>
              <w:fldChar w:fldCharType="begin" w:fldLock="1"/>
            </w:r>
            <w:r w:rsidRPr="0013038B">
              <w:rPr>
                <w:rFonts w:ascii="Times New Roman" w:hAnsi="Times New Roman" w:cs="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sidRPr="0013038B">
              <w:rPr>
                <w:rFonts w:ascii="Cambria Math" w:hAnsi="Cambria Math" w:cs="Cambria Math"/>
              </w:rPr>
              <w:instrText>⋅</w:instrText>
            </w:r>
            <w:r w:rsidRPr="0013038B">
              <w:rPr>
                <w:rFonts w:ascii="Times New Roman" w:hAnsi="Times New Roman" w:cs="Times New Roman"/>
              </w:rPr>
              <w:instrText>67±0</w:instrText>
            </w:r>
            <w:r w:rsidRPr="0013038B">
              <w:rPr>
                <w:rFonts w:ascii="Cambria Math" w:hAnsi="Cambria Math" w:cs="Cambria Math"/>
              </w:rPr>
              <w:instrText>⋅</w:instrText>
            </w:r>
            <w:r w:rsidRPr="0013038B">
              <w:rPr>
                <w:rFonts w:ascii="Times New Roman" w:hAnsi="Times New Roman" w:cs="Times New Roman"/>
              </w:rPr>
              <w:instrText>03, 0</w:instrText>
            </w:r>
            <w:r w:rsidRPr="0013038B">
              <w:rPr>
                <w:rFonts w:ascii="Cambria Math" w:hAnsi="Cambria Math" w:cs="Cambria Math"/>
              </w:rPr>
              <w:instrText>⋅</w:instrText>
            </w:r>
            <w:r w:rsidRPr="0013038B">
              <w:rPr>
                <w:rFonts w:ascii="Times New Roman" w:hAnsi="Times New Roman" w:cs="Times New Roman"/>
              </w:rPr>
              <w:instrText>62±0</w:instrText>
            </w:r>
            <w:r w:rsidRPr="0013038B">
              <w:rPr>
                <w:rFonts w:ascii="Cambria Math" w:hAnsi="Cambria Math" w:cs="Cambria Math"/>
              </w:rPr>
              <w:instrText>⋅</w:instrText>
            </w:r>
            <w:r w:rsidRPr="0013038B">
              <w:rPr>
                <w:rFonts w:ascii="Times New Roman" w:hAnsi="Times New Roman" w:cs="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sidRPr="0013038B">
              <w:rPr>
                <w:rFonts w:ascii="Cambria Math" w:hAnsi="Cambria Math" w:cs="Cambria Math"/>
              </w:rPr>
              <w:instrText>⋅</w:instrText>
            </w:r>
            <w:r w:rsidRPr="0013038B">
              <w:rPr>
                <w:rFonts w:ascii="Times New Roman" w:hAnsi="Times New Roman" w:cs="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sidRPr="0013038B">
              <w:rPr>
                <w:rFonts w:ascii="Cambria Math" w:hAnsi="Cambria Math" w:cs="Cambria Math"/>
              </w:rPr>
              <w:instrText>⋅</w:instrText>
            </w:r>
            <w:r w:rsidRPr="0013038B">
              <w:rPr>
                <w:rFonts w:ascii="Times New Roman" w:hAnsi="Times New Roman" w:cs="Times New Roman"/>
              </w:rPr>
              <w:instrText xml:space="preserve">5 p.p.m. Our revised determination of CO2 solubility is </w:instrText>
            </w:r>
            <w:r w:rsidRPr="0013038B">
              <w:rPr>
                <w:rFonts w:ascii="Cambria Math" w:hAnsi="Cambria Math" w:cs="Cambria Math"/>
              </w:rPr>
              <w:instrText>∼</w:instrText>
            </w:r>
            <w:r w:rsidRPr="0013038B">
              <w:rPr>
                <w:rFonts w:ascii="Times New Roman" w:hAnsi="Times New Roman" w:cs="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models","type":"article-journal","volume":"36"},"uris":["http://www.mendeley.com/documents/?uuid=2e9900bf-0994-3bf3-bbcb-76f8502edb39"]}],"mendeley":{"formattedCitation":"(Dixon et al., 1995)","manualFormatting":"Dixon et al. (1995)","plainTextFormattedCitation":"(Dixon et al., 1995)","previouslyFormattedCitation":"(Dixon et al., 1995)"},"properties":{"noteIndex":0},"schema":"https://github.com/citation-style-language/schema/raw/master/csl-citation.json"}</w:instrText>
            </w:r>
            <w:r w:rsidRPr="0013038B">
              <w:rPr>
                <w:rFonts w:ascii="Times New Roman" w:hAnsi="Times New Roman" w:cs="Times New Roman"/>
              </w:rPr>
              <w:fldChar w:fldCharType="separate"/>
            </w:r>
            <w:r w:rsidRPr="001827DE">
              <w:rPr>
                <w:rFonts w:ascii="Times New Roman" w:hAnsi="Times New Roman" w:cs="Times New Roman"/>
                <w:noProof/>
              </w:rPr>
              <w:t>Dixon et al. (1995)</w:t>
            </w:r>
            <w:r w:rsidRPr="0013038B">
              <w:rPr>
                <w:rFonts w:ascii="Times New Roman" w:hAnsi="Times New Roman" w:cs="Times New Roman"/>
              </w:rPr>
              <w:fldChar w:fldCharType="end"/>
            </w:r>
          </w:p>
        </w:tc>
      </w:tr>
      <w:tr w:rsidR="004358B7" w14:paraId="3D619761" w14:textId="77777777" w:rsidTr="00095A1C">
        <w:tc>
          <w:tcPr>
            <w:tcW w:w="1189" w:type="dxa"/>
            <w:tcBorders>
              <w:top w:val="nil"/>
              <w:bottom w:val="nil"/>
            </w:tcBorders>
          </w:tcPr>
          <w:p w14:paraId="1249E77A"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
                      <m:sSubPr>
                        <m:ctrlPr>
                          <w:rPr>
                            <w:rFonts w:ascii="Cambria Math" w:eastAsia="Calibri" w:hAnsi="Cambria Math" w:cs="Times New Roman"/>
                          </w:rPr>
                        </m:ctrlPr>
                      </m:sSubPr>
                      <m:e>
                        <m:r>
                          <m:rPr>
                            <m:sty m:val="p"/>
                          </m:rPr>
                          <w:rPr>
                            <w:rFonts w:ascii="Cambria Math" w:eastAsia="Calibri" w:hAnsi="Cambria Math" w:cs="Times New Roman"/>
                          </w:rPr>
                          <m:t>H</m:t>
                        </m:r>
                      </m:e>
                      <m:sub>
                        <m:r>
                          <m:rPr>
                            <m:sty m:val="p"/>
                          </m:rPr>
                          <w:rPr>
                            <w:rFonts w:ascii="Cambria Math" w:eastAsia="Calibri" w:hAnsi="Cambria Math" w:cs="Times New Roman"/>
                          </w:rPr>
                          <m:t>2</m:t>
                        </m:r>
                      </m:sub>
                    </m:sSub>
                    <m:sSub>
                      <m:sSubPr>
                        <m:ctrlPr>
                          <w:rPr>
                            <w:rFonts w:ascii="Cambria Math" w:eastAsia="Calibri" w:hAnsi="Cambria Math" w:cs="Times New Roman"/>
                          </w:rPr>
                        </m:ctrlPr>
                      </m:sSubPr>
                      <m:e>
                        <m:r>
                          <m:rPr>
                            <m:sty m:val="p"/>
                          </m:rPr>
                          <w:rPr>
                            <w:rFonts w:ascii="Cambria Math" w:eastAsia="Calibri" w:hAnsi="Cambria Math" w:cs="Times New Roman"/>
                          </w:rPr>
                          <m:t>O</m:t>
                        </m:r>
                      </m:e>
                      <m:sub>
                        <m:r>
                          <m:rPr>
                            <m:sty m:val="p"/>
                          </m:rPr>
                          <w:rPr>
                            <w:rFonts w:ascii="Cambria Math" w:eastAsia="Calibri" w:hAnsi="Cambria Math" w:cs="Times New Roman"/>
                          </w:rPr>
                          <m:t>T</m:t>
                        </m:r>
                      </m:sub>
                    </m:sSub>
                  </m:sub>
                </m:sSub>
              </m:oMath>
            </m:oMathPara>
          </w:p>
        </w:tc>
        <w:tc>
          <w:tcPr>
            <w:tcW w:w="1500" w:type="dxa"/>
            <w:tcBorders>
              <w:top w:val="nil"/>
              <w:bottom w:val="nil"/>
            </w:tcBorders>
          </w:tcPr>
          <w:p w14:paraId="3841DEDB" w14:textId="77777777" w:rsidR="00715FB3" w:rsidRDefault="00715FB3" w:rsidP="000B6300">
            <w:pPr>
              <w:jc w:val="both"/>
              <w:rPr>
                <w:rFonts w:ascii="Times New Roman" w:hAnsi="Times New Roman" w:cs="Times New Roman"/>
              </w:rPr>
            </w:pPr>
            <w:r>
              <w:rPr>
                <w:rFonts w:ascii="Times New Roman" w:hAnsi="Times New Roman" w:cs="Times New Roman"/>
              </w:rPr>
              <w:t>Basalts</w:t>
            </w:r>
          </w:p>
        </w:tc>
        <w:tc>
          <w:tcPr>
            <w:tcW w:w="1559" w:type="dxa"/>
            <w:tcBorders>
              <w:top w:val="nil"/>
              <w:bottom w:val="nil"/>
            </w:tcBorders>
          </w:tcPr>
          <w:p w14:paraId="520F3F7D" w14:textId="77777777" w:rsidR="00715FB3" w:rsidRPr="000B6300" w:rsidRDefault="00715FB3" w:rsidP="000B6300">
            <w:pPr>
              <w:jc w:val="right"/>
              <w:rPr>
                <w:rFonts w:ascii="Times New Roman" w:hAnsi="Times New Roman" w:cs="Times New Roman"/>
              </w:rPr>
            </w:pPr>
            <w:r w:rsidRPr="000B6300">
              <w:rPr>
                <w:rFonts w:ascii="Times New Roman" w:hAnsi="Times New Roman" w:cs="Times New Roman"/>
              </w:rPr>
              <w:t>10</w:t>
            </w:r>
            <w:r>
              <w:rPr>
                <w:rFonts w:ascii="Times New Roman" w:hAnsi="Times New Roman" w:cs="Times New Roman"/>
              </w:rPr>
              <w:t>9</w:t>
            </w:r>
            <w:r w:rsidRPr="000B6300">
              <w:rPr>
                <w:rFonts w:ascii="Times New Roman" w:hAnsi="Times New Roman" w:cs="Times New Roman"/>
              </w:rPr>
              <w:t>–5000</w:t>
            </w:r>
          </w:p>
        </w:tc>
        <w:tc>
          <w:tcPr>
            <w:tcW w:w="1559" w:type="dxa"/>
            <w:tcBorders>
              <w:top w:val="nil"/>
              <w:bottom w:val="nil"/>
            </w:tcBorders>
          </w:tcPr>
          <w:p w14:paraId="2E0386A3" w14:textId="77777777" w:rsidR="00715FB3" w:rsidRPr="006B6E47" w:rsidRDefault="00715FB3" w:rsidP="000B6300">
            <w:pPr>
              <w:jc w:val="right"/>
              <w:rPr>
                <w:rFonts w:ascii="Times New Roman" w:hAnsi="Times New Roman" w:cs="Times New Roman"/>
                <w:i/>
                <w:iCs/>
              </w:rPr>
            </w:pPr>
            <w:r>
              <w:rPr>
                <w:rFonts w:ascii="Times New Roman" w:hAnsi="Times New Roman" w:cs="Times New Roman"/>
              </w:rPr>
              <w:t>1050–1250</w:t>
            </w:r>
          </w:p>
        </w:tc>
        <w:tc>
          <w:tcPr>
            <w:tcW w:w="3209" w:type="dxa"/>
            <w:tcBorders>
              <w:top w:val="nil"/>
              <w:bottom w:val="nil"/>
            </w:tcBorders>
          </w:tcPr>
          <w:p w14:paraId="5850E817" w14:textId="77777777" w:rsidR="00715FB3" w:rsidRPr="006B6E47" w:rsidRDefault="00715FB3" w:rsidP="000B6300">
            <w:pPr>
              <w:jc w:val="both"/>
              <w:rPr>
                <w:rFonts w:ascii="Times New Roman" w:hAnsi="Times New Roman" w:cs="Times New Roman"/>
                <w:i/>
                <w:iCs/>
              </w:rPr>
            </w:pPr>
            <w:r>
              <w:rPr>
                <w:rFonts w:ascii="Times New Roman" w:hAnsi="Times New Roman" w:cs="Times New Roman"/>
              </w:rPr>
              <w:t>This study</w:t>
            </w:r>
          </w:p>
        </w:tc>
      </w:tr>
      <w:tr w:rsidR="004358B7" w14:paraId="5E6E8CC8" w14:textId="77777777" w:rsidTr="00095A1C">
        <w:tc>
          <w:tcPr>
            <w:tcW w:w="1189" w:type="dxa"/>
            <w:tcBorders>
              <w:top w:val="nil"/>
              <w:bottom w:val="nil"/>
            </w:tcBorders>
          </w:tcPr>
          <w:p w14:paraId="082CBBC9"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
                      <m:sSubPr>
                        <m:ctrlPr>
                          <w:rPr>
                            <w:rFonts w:ascii="Cambria Math" w:eastAsia="Calibri" w:hAnsi="Cambria Math" w:cs="Times New Roman"/>
                            <w:iCs/>
                          </w:rPr>
                        </m:ctrlPr>
                      </m:sSubPr>
                      <m:e>
                        <m:r>
                          <m:rPr>
                            <m:sty m:val="p"/>
                          </m:rPr>
                          <w:rPr>
                            <w:rFonts w:ascii="Cambria Math" w:eastAsia="Calibri" w:hAnsi="Cambria Math" w:cs="Times New Roman"/>
                          </w:rPr>
                          <m:t>CO</m:t>
                        </m:r>
                      </m:e>
                      <m:sub>
                        <m:r>
                          <m:rPr>
                            <m:sty m:val="p"/>
                          </m:rPr>
                          <w:rPr>
                            <w:rFonts w:ascii="Cambria Math" w:eastAsia="Calibri" w:hAnsi="Cambria Math" w:cs="Times New Roman"/>
                          </w:rPr>
                          <m:t>mol</m:t>
                        </m:r>
                      </m:sub>
                    </m:sSub>
                  </m:sub>
                </m:sSub>
              </m:oMath>
            </m:oMathPara>
          </w:p>
        </w:tc>
        <w:tc>
          <w:tcPr>
            <w:tcW w:w="1500" w:type="dxa"/>
            <w:tcBorders>
              <w:top w:val="nil"/>
              <w:bottom w:val="nil"/>
            </w:tcBorders>
          </w:tcPr>
          <w:p w14:paraId="372CC1CC" w14:textId="77777777" w:rsidR="00715FB3" w:rsidRDefault="00715FB3" w:rsidP="000B6300">
            <w:pPr>
              <w:jc w:val="both"/>
              <w:rPr>
                <w:rFonts w:ascii="Times New Roman" w:hAnsi="Times New Roman" w:cs="Times New Roman"/>
              </w:rPr>
            </w:pPr>
            <w:r>
              <w:rPr>
                <w:rFonts w:ascii="Times New Roman" w:hAnsi="Times New Roman" w:cs="Times New Roman"/>
              </w:rPr>
              <w:t xml:space="preserve">MOR, lunar, and </w:t>
            </w:r>
            <w:proofErr w:type="spellStart"/>
            <w:r>
              <w:rPr>
                <w:rFonts w:ascii="Times New Roman" w:hAnsi="Times New Roman" w:cs="Times New Roman"/>
              </w:rPr>
              <w:t>martian</w:t>
            </w:r>
            <w:proofErr w:type="spellEnd"/>
            <w:r>
              <w:rPr>
                <w:rFonts w:ascii="Times New Roman" w:hAnsi="Times New Roman" w:cs="Times New Roman"/>
              </w:rPr>
              <w:t xml:space="preserve"> basalts</w:t>
            </w:r>
          </w:p>
        </w:tc>
        <w:tc>
          <w:tcPr>
            <w:tcW w:w="1559" w:type="dxa"/>
            <w:tcBorders>
              <w:top w:val="nil"/>
              <w:bottom w:val="nil"/>
            </w:tcBorders>
          </w:tcPr>
          <w:p w14:paraId="4B13764A" w14:textId="565BAE7E" w:rsidR="00715FB3" w:rsidRPr="000B6300" w:rsidRDefault="00804FB8" w:rsidP="000B6300">
            <w:pPr>
              <w:jc w:val="right"/>
              <w:rPr>
                <w:rFonts w:ascii="Times New Roman" w:hAnsi="Times New Roman" w:cs="Times New Roman"/>
              </w:rPr>
            </w:pPr>
            <w:r w:rsidRPr="000B6300">
              <w:rPr>
                <w:rFonts w:ascii="Times New Roman" w:hAnsi="Times New Roman" w:cs="Times New Roman"/>
              </w:rPr>
              <w:t>350–32000</w:t>
            </w:r>
          </w:p>
        </w:tc>
        <w:tc>
          <w:tcPr>
            <w:tcW w:w="1559" w:type="dxa"/>
            <w:tcBorders>
              <w:top w:val="nil"/>
              <w:bottom w:val="nil"/>
            </w:tcBorders>
          </w:tcPr>
          <w:p w14:paraId="44ADE427" w14:textId="43C0CBEA" w:rsidR="00715FB3" w:rsidRPr="000B6300" w:rsidRDefault="00804FB8" w:rsidP="000B6300">
            <w:pPr>
              <w:jc w:val="right"/>
              <w:rPr>
                <w:rFonts w:ascii="Times New Roman" w:hAnsi="Times New Roman" w:cs="Times New Roman"/>
              </w:rPr>
            </w:pPr>
            <w:r>
              <w:rPr>
                <w:rFonts w:ascii="Times New Roman" w:hAnsi="Times New Roman" w:cs="Times New Roman"/>
              </w:rPr>
              <w:t>1340–1617</w:t>
            </w:r>
          </w:p>
        </w:tc>
        <w:tc>
          <w:tcPr>
            <w:tcW w:w="3209" w:type="dxa"/>
            <w:tcBorders>
              <w:top w:val="nil"/>
              <w:bottom w:val="nil"/>
            </w:tcBorders>
          </w:tcPr>
          <w:p w14:paraId="5E167BE4" w14:textId="77777777" w:rsidR="00715FB3" w:rsidRPr="000B6300" w:rsidRDefault="00715FB3" w:rsidP="000B6300">
            <w:pPr>
              <w:jc w:val="both"/>
              <w:rPr>
                <w:rFonts w:ascii="Times New Roman" w:hAnsi="Times New Roman" w:cs="Times New Roman"/>
              </w:rPr>
            </w:pPr>
            <w:r>
              <w:rPr>
                <w:rFonts w:ascii="Times New Roman" w:hAnsi="Times New Roman" w:cs="Times New Roman"/>
              </w:rPr>
              <w:t>This study</w:t>
            </w:r>
          </w:p>
        </w:tc>
      </w:tr>
      <w:tr w:rsidR="004358B7" w14:paraId="0E73C495" w14:textId="77777777" w:rsidTr="00095A1C">
        <w:tc>
          <w:tcPr>
            <w:tcW w:w="1189" w:type="dxa"/>
            <w:tcBorders>
              <w:top w:val="nil"/>
              <w:bottom w:val="nil"/>
            </w:tcBorders>
          </w:tcPr>
          <w:p w14:paraId="34CF6735"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
                      <m:sSubPr>
                        <m:ctrlPr>
                          <w:rPr>
                            <w:rFonts w:ascii="Cambria Math" w:eastAsia="Calibri" w:hAnsi="Cambria Math" w:cs="Times New Roman"/>
                          </w:rPr>
                        </m:ctrlPr>
                      </m:sSubPr>
                      <m:e>
                        <m:r>
                          <m:rPr>
                            <m:sty m:val="p"/>
                          </m:rPr>
                          <w:rPr>
                            <w:rFonts w:ascii="Cambria Math" w:eastAsia="Calibri" w:hAnsi="Cambria Math" w:cs="Times New Roman"/>
                          </w:rPr>
                          <m:t>H</m:t>
                        </m:r>
                      </m:e>
                      <m:sub>
                        <m:r>
                          <m:rPr>
                            <m:sty m:val="p"/>
                          </m:rPr>
                          <w:rPr>
                            <w:rFonts w:ascii="Cambria Math" w:eastAsia="Calibri" w:hAnsi="Cambria Math" w:cs="Times New Roman"/>
                          </w:rPr>
                          <m:t>2,mol</m:t>
                        </m:r>
                      </m:sub>
                    </m:sSub>
                  </m:sub>
                </m:sSub>
              </m:oMath>
            </m:oMathPara>
          </w:p>
        </w:tc>
        <w:tc>
          <w:tcPr>
            <w:tcW w:w="1500" w:type="dxa"/>
            <w:tcBorders>
              <w:top w:val="nil"/>
              <w:bottom w:val="nil"/>
            </w:tcBorders>
          </w:tcPr>
          <w:p w14:paraId="13B71E45" w14:textId="77777777" w:rsidR="00715FB3" w:rsidRDefault="00715FB3" w:rsidP="000B6300">
            <w:pPr>
              <w:jc w:val="both"/>
              <w:rPr>
                <w:rFonts w:ascii="Times New Roman" w:hAnsi="Times New Roman" w:cs="Times New Roman"/>
              </w:rPr>
            </w:pPr>
            <w:r>
              <w:rPr>
                <w:rFonts w:ascii="Times New Roman" w:hAnsi="Times New Roman" w:cs="Times New Roman"/>
              </w:rPr>
              <w:t>Basalt</w:t>
            </w:r>
          </w:p>
        </w:tc>
        <w:tc>
          <w:tcPr>
            <w:tcW w:w="1559" w:type="dxa"/>
            <w:tcBorders>
              <w:top w:val="nil"/>
              <w:bottom w:val="nil"/>
            </w:tcBorders>
          </w:tcPr>
          <w:p w14:paraId="7310F183" w14:textId="5C320419" w:rsidR="00715FB3" w:rsidRPr="000B6300" w:rsidRDefault="00804FB8" w:rsidP="000B6300">
            <w:pPr>
              <w:jc w:val="right"/>
              <w:rPr>
                <w:rFonts w:ascii="Times New Roman" w:hAnsi="Times New Roman" w:cs="Times New Roman"/>
              </w:rPr>
            </w:pPr>
            <w:r>
              <w:rPr>
                <w:rFonts w:ascii="Times New Roman" w:hAnsi="Times New Roman"/>
              </w:rPr>
              <w:t>7000–30000</w:t>
            </w:r>
          </w:p>
        </w:tc>
        <w:tc>
          <w:tcPr>
            <w:tcW w:w="1559" w:type="dxa"/>
            <w:tcBorders>
              <w:top w:val="nil"/>
              <w:bottom w:val="nil"/>
            </w:tcBorders>
          </w:tcPr>
          <w:p w14:paraId="6C0E347C" w14:textId="1AC394D9" w:rsidR="00715FB3" w:rsidRPr="006B6E47" w:rsidRDefault="00804FB8" w:rsidP="000B6300">
            <w:pPr>
              <w:jc w:val="right"/>
              <w:rPr>
                <w:rFonts w:ascii="Times New Roman" w:hAnsi="Times New Roman" w:cs="Times New Roman"/>
                <w:i/>
                <w:iCs/>
              </w:rPr>
            </w:pPr>
            <w:r>
              <w:rPr>
                <w:rFonts w:ascii="Times New Roman" w:hAnsi="Times New Roman" w:cs="Times New Roman"/>
              </w:rPr>
              <w:t>1400–1450</w:t>
            </w:r>
          </w:p>
        </w:tc>
        <w:tc>
          <w:tcPr>
            <w:tcW w:w="3209" w:type="dxa"/>
            <w:tcBorders>
              <w:top w:val="nil"/>
              <w:bottom w:val="nil"/>
            </w:tcBorders>
          </w:tcPr>
          <w:p w14:paraId="780069A9" w14:textId="22FE44D3" w:rsidR="00715FB3" w:rsidRPr="000B6300" w:rsidRDefault="00715FB3" w:rsidP="0013038B">
            <w:pPr>
              <w:rPr>
                <w:rFonts w:ascii="Times New Roman" w:hAnsi="Times New Roman" w:cs="Times New Roman"/>
              </w:rPr>
            </w:pPr>
            <w:r w:rsidRPr="0013038B">
              <w:rPr>
                <w:rFonts w:ascii="Times New Roman" w:hAnsi="Times New Roman" w:cs="Times New Roman"/>
              </w:rPr>
              <w:t xml:space="preserve">Modified from </w:t>
            </w:r>
            <w:r w:rsidR="00034877" w:rsidRPr="0013038B">
              <w:rPr>
                <w:rFonts w:ascii="Times New Roman" w:hAnsi="Times New Roman" w:cs="Times New Roman"/>
              </w:rPr>
              <w:fldChar w:fldCharType="begin" w:fldLock="1"/>
            </w:r>
            <w:r w:rsidR="0013038B" w:rsidRPr="0013038B">
              <w:rPr>
                <w:rFonts w:ascii="Times New Roman" w:hAnsi="Times New Roman" w:cs="Times New Roman"/>
              </w:rPr>
              <w:instrText>ADDIN CSL_CITATION {"citationItems":[{"id":"ITEM-1","itemData":{"DOI":"10.1016/J.EPSL.2012.06.031","ISSN":"0012-821X","abstract":"We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Letters","id":"ITEM-1","issued":{"date-parts":[["2012","9","1"]]},"page":"38-48","publisher":"Elsevier","title":"Solubility of molecular hydrogen in silicate melts and consequences for volatile evolution of terrestrial planets","type":"article-journal","volume":"345-348"},"uris":["http://www.mendeley.com/documents/?uuid=0b218f94-363e-373b-aae6-51c0c4c55f42"]}],"mendeley":{"formattedCitation":"(Hirschmann et al., 2012)","manualFormatting":"Hirschmann et al. (2012)","plainTextFormattedCitation":"(Hirschmann et al., 2012)","previouslyFormattedCitation":"(Hirschmann et al., 2012)"},"properties":{"noteIndex":0},"schema":"https://github.com/citation-style-language/schema/raw/master/csl-citation.json"}</w:instrText>
            </w:r>
            <w:r w:rsidR="00034877" w:rsidRPr="0013038B">
              <w:rPr>
                <w:rFonts w:ascii="Times New Roman" w:hAnsi="Times New Roman" w:cs="Times New Roman"/>
              </w:rPr>
              <w:fldChar w:fldCharType="separate"/>
            </w:r>
            <w:r w:rsidR="00034877" w:rsidRPr="0013038B">
              <w:rPr>
                <w:rFonts w:ascii="Times New Roman" w:hAnsi="Times New Roman" w:cs="Times New Roman"/>
                <w:noProof/>
              </w:rPr>
              <w:t xml:space="preserve">Hirschmann et al. </w:t>
            </w:r>
            <w:r w:rsidR="0013038B" w:rsidRPr="0013038B">
              <w:rPr>
                <w:rFonts w:ascii="Times New Roman" w:hAnsi="Times New Roman" w:cs="Times New Roman"/>
                <w:noProof/>
              </w:rPr>
              <w:t>(</w:t>
            </w:r>
            <w:r w:rsidR="00034877" w:rsidRPr="0013038B">
              <w:rPr>
                <w:rFonts w:ascii="Times New Roman" w:hAnsi="Times New Roman" w:cs="Times New Roman"/>
                <w:noProof/>
              </w:rPr>
              <w:t>2012)</w:t>
            </w:r>
            <w:r w:rsidR="00034877" w:rsidRPr="0013038B">
              <w:rPr>
                <w:rFonts w:ascii="Times New Roman" w:hAnsi="Times New Roman" w:cs="Times New Roman"/>
              </w:rPr>
              <w:fldChar w:fldCharType="end"/>
            </w:r>
            <w:r w:rsidR="00FD2F77">
              <w:rPr>
                <w:rFonts w:ascii="Times New Roman" w:hAnsi="Times New Roman" w:cs="Times New Roman"/>
              </w:rPr>
              <w:t xml:space="preserve"> for this study</w:t>
            </w:r>
          </w:p>
        </w:tc>
      </w:tr>
      <w:tr w:rsidR="004358B7" w14:paraId="1EDA4873" w14:textId="77777777" w:rsidTr="00095A1C">
        <w:tc>
          <w:tcPr>
            <w:tcW w:w="1189" w:type="dxa"/>
            <w:tcBorders>
              <w:top w:val="nil"/>
              <w:bottom w:val="nil"/>
            </w:tcBorders>
          </w:tcPr>
          <w:p w14:paraId="0544D6D1"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
                      <m:sSubPr>
                        <m:ctrlPr>
                          <w:rPr>
                            <w:rFonts w:ascii="Cambria Math" w:eastAsia="Calibri" w:hAnsi="Cambria Math" w:cs="Times New Roman"/>
                          </w:rPr>
                        </m:ctrlPr>
                      </m:sSubPr>
                      <m:e>
                        <m:r>
                          <m:rPr>
                            <m:sty m:val="p"/>
                          </m:rPr>
                          <w:rPr>
                            <w:rFonts w:ascii="Cambria Math" w:eastAsia="Calibri" w:hAnsi="Cambria Math" w:cs="Times New Roman"/>
                          </w:rPr>
                          <m:t>CH</m:t>
                        </m:r>
                      </m:e>
                      <m:sub>
                        <m:r>
                          <m:rPr>
                            <m:sty m:val="p"/>
                          </m:rPr>
                          <w:rPr>
                            <w:rFonts w:ascii="Cambria Math" w:eastAsia="Calibri" w:hAnsi="Cambria Math" w:cs="Times New Roman"/>
                          </w:rPr>
                          <m:t>4,mol</m:t>
                        </m:r>
                      </m:sub>
                    </m:sSub>
                  </m:sub>
                </m:sSub>
              </m:oMath>
            </m:oMathPara>
          </w:p>
        </w:tc>
        <w:tc>
          <w:tcPr>
            <w:tcW w:w="1500" w:type="dxa"/>
            <w:tcBorders>
              <w:top w:val="nil"/>
              <w:bottom w:val="nil"/>
            </w:tcBorders>
          </w:tcPr>
          <w:p w14:paraId="3CF1B970" w14:textId="77777777" w:rsidR="00715FB3" w:rsidRDefault="00715FB3" w:rsidP="000B6300">
            <w:pPr>
              <w:jc w:val="both"/>
              <w:rPr>
                <w:rFonts w:ascii="Times New Roman" w:hAnsi="Times New Roman" w:cs="Times New Roman"/>
              </w:rPr>
            </w:pPr>
            <w:proofErr w:type="spellStart"/>
            <w:r>
              <w:rPr>
                <w:rFonts w:ascii="Times New Roman" w:hAnsi="Times New Roman" w:cs="Times New Roman"/>
              </w:rPr>
              <w:t>Haplobasalt</w:t>
            </w:r>
            <w:proofErr w:type="spellEnd"/>
          </w:p>
        </w:tc>
        <w:tc>
          <w:tcPr>
            <w:tcW w:w="1559" w:type="dxa"/>
            <w:tcBorders>
              <w:top w:val="nil"/>
              <w:bottom w:val="nil"/>
            </w:tcBorders>
          </w:tcPr>
          <w:p w14:paraId="2063C94B" w14:textId="5466ECE0" w:rsidR="00715FB3" w:rsidRPr="00804FB8" w:rsidRDefault="00804FB8" w:rsidP="000B6300">
            <w:pPr>
              <w:jc w:val="right"/>
              <w:rPr>
                <w:rFonts w:ascii="Times New Roman" w:hAnsi="Times New Roman"/>
              </w:rPr>
            </w:pPr>
            <w:r>
              <w:rPr>
                <w:rFonts w:ascii="Times New Roman" w:hAnsi="Times New Roman"/>
              </w:rPr>
              <w:t>7000–30000</w:t>
            </w:r>
          </w:p>
        </w:tc>
        <w:tc>
          <w:tcPr>
            <w:tcW w:w="1559" w:type="dxa"/>
            <w:tcBorders>
              <w:top w:val="nil"/>
              <w:bottom w:val="nil"/>
            </w:tcBorders>
          </w:tcPr>
          <w:p w14:paraId="2F2E004A" w14:textId="532DEC06" w:rsidR="00804FB8" w:rsidRPr="006B6E47" w:rsidRDefault="00804FB8" w:rsidP="000B6300">
            <w:pPr>
              <w:jc w:val="right"/>
              <w:rPr>
                <w:rFonts w:ascii="Times New Roman" w:hAnsi="Times New Roman" w:cs="Times New Roman"/>
                <w:i/>
                <w:iCs/>
              </w:rPr>
            </w:pPr>
            <w:r w:rsidRPr="004F3A35">
              <w:rPr>
                <w:rFonts w:ascii="Times New Roman" w:hAnsi="Times New Roman" w:cs="Times New Roman"/>
              </w:rPr>
              <w:t>1400–1450</w:t>
            </w:r>
          </w:p>
        </w:tc>
        <w:tc>
          <w:tcPr>
            <w:tcW w:w="3209" w:type="dxa"/>
            <w:tcBorders>
              <w:top w:val="nil"/>
              <w:bottom w:val="nil"/>
            </w:tcBorders>
          </w:tcPr>
          <w:p w14:paraId="12CDD9A6" w14:textId="7BF8541D" w:rsidR="00715FB3" w:rsidRPr="000B6300" w:rsidRDefault="0013038B" w:rsidP="000B6300">
            <w:pPr>
              <w:jc w:val="both"/>
              <w:rPr>
                <w:rFonts w:ascii="Times New Roman" w:hAnsi="Times New Roman" w:cs="Times New Roman"/>
                <w:i/>
                <w:iCs/>
              </w:rPr>
            </w:pPr>
            <w:r w:rsidRPr="0013038B">
              <w:rPr>
                <w:rFonts w:ascii="Times New Roman" w:hAnsi="Times New Roman"/>
              </w:rPr>
              <w:fldChar w:fldCharType="begin" w:fldLock="1"/>
            </w:r>
            <w:r>
              <w:rPr>
                <w:rFonts w:ascii="Times New Roman" w:hAnsi="Times New Roman"/>
              </w:rPr>
              <w:instrText>ADDIN CSL_CITATION {"citationItems":[{"id":"ITEM-1","itemData":{"DOI":"10.1016/J.GCA.2013.03.028","ISSN":"0016-7037","abstract":"We employ a double capsule technique to determine the solubility of CH4 in haplobasaltic (Fe-free) liquid under conditions of constrained methane fugacity, fCH4, at pressures of 0.7-3GPa at 1400-1450°C. Dissolved C-O-H species are examined with FTIR and Raman spectroscopy, and CH4 and CH3- are the only C-bearing species detected. Carbon solubilities are quantified using SIMS, range from 70 to 480ppm when calculated as CH4, and increase with pressure. Concentrations are parameterized with a thermodynamic model and are found to be related to fCH4 and pressure. Application of this thermodynamic model shows dissolved CH4 contents of graphite-saturated magmas are little-influenced by pressure for conditions of fixed fO2 relative to metal-oxide buffers and fixed total H content. Because fCH4 of graphite-saturated systems increases with the square of hydrogen fugacity, dissolved fCH4 increases with decreasing fO2 and increases exponentially with increasing total H content. The experimentally-observed increase with pressure is related to variations in fO2 and H content. Dissolved CH4 contents of Martian magmas in their source regions are small, such that it is unlikely that magmatic CH4 is a principal contributor to greenhouse conditions early in Martian history. Concentrations of dissolved C-O-H volatiles in a magma ocean early in the history of a terrestrial planet may be diminished by reducing conditions, leading to development of a massive atmosphere and a greatly decreased inventory of volatiles stored in planetary interiors at the outset of planetary history. Dissolution of methane may enhance the retention of C in the silicate Earth during core formation, but experimental evaluation of its influence on metal/silicate partitioning of C requires careful matching of the magmatic H concentration between experiments and natural systems. © 2013 Elsevier Ltd.","author":[{"dropping-particle":"","family":"Ardia","given":"P.","non-dropping-particle":"","parse-names":false,"suffix":""},{"dropping-particle":"","family":"Hirschmann","given":"M. M.","non-dropping-particle":"","parse-names":false,"suffix":""},{"dropping-particle":"","family":"Withers","given":"A. C.","non-dropping-particle":"","parse-names":false,"suffix":""},{"dropping-particle":"","family":"Stanley","given":"B. D.","non-dropping-particle":"","parse-names":false,"suffix":""}],"container-title":"Geochimica et Cosmochimica Acta","id":"ITEM-1","issued":{"date-parts":[["2013","8","1"]]},"page":"52-71","publisher":"Pergamon","title":"Solubility of CH4 in a synthetic basaltic melt, with applications to atmosphere–magma ocean–core partitioning of volatiles and to the evolution of the Martian atmosphere","type":"article-journal","volume":"114"},"uris":["http://www.mendeley.com/documents/?uuid=f480b134-992e-323d-9672-6feca8280fae"]}],"mendeley":{"formattedCitation":"(Ardia et al., 2013)","manualFormatting":"Ardia et al. (2013)","plainTextFormattedCitation":"(Ardia et al., 2013)","previouslyFormattedCitation":"(Ardia et al., 2013)"},"properties":{"noteIndex":0},"schema":"https://github.com/citation-style-language/schema/raw/master/csl-citation.json"}</w:instrText>
            </w:r>
            <w:r w:rsidRPr="0013038B">
              <w:rPr>
                <w:rFonts w:ascii="Times New Roman" w:hAnsi="Times New Roman"/>
              </w:rPr>
              <w:fldChar w:fldCharType="separate"/>
            </w:r>
            <w:r w:rsidRPr="001827DE">
              <w:rPr>
                <w:rFonts w:ascii="Times New Roman" w:hAnsi="Times New Roman"/>
                <w:noProof/>
              </w:rPr>
              <w:t>Ardia et al. (2013)</w:t>
            </w:r>
            <w:r w:rsidRPr="0013038B">
              <w:rPr>
                <w:rFonts w:ascii="Times New Roman" w:hAnsi="Times New Roman"/>
              </w:rPr>
              <w:fldChar w:fldCharType="end"/>
            </w:r>
          </w:p>
        </w:tc>
      </w:tr>
      <w:tr w:rsidR="004358B7" w14:paraId="3E766FB8" w14:textId="77777777" w:rsidTr="00095A1C">
        <w:tc>
          <w:tcPr>
            <w:tcW w:w="1189" w:type="dxa"/>
            <w:tcBorders>
              <w:top w:val="nil"/>
              <w:bottom w:val="nil"/>
            </w:tcBorders>
          </w:tcPr>
          <w:p w14:paraId="2E8EBCCE" w14:textId="11BC5712"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Pre>
                      <m:sPrePr>
                        <m:ctrlPr>
                          <w:rPr>
                            <w:rFonts w:ascii="Cambria Math" w:eastAsia="Calibri" w:hAnsi="Cambria Math" w:cs="Times New Roman"/>
                            <w:iCs/>
                          </w:rPr>
                        </m:ctrlPr>
                      </m:sPrePr>
                      <m:sub>
                        <m:r>
                          <w:rPr>
                            <w:rFonts w:ascii="Cambria Math" w:eastAsia="Calibri" w:hAnsi="Cambria Math" w:cs="Times New Roman"/>
                          </w:rPr>
                          <m:t xml:space="preserve"> </m:t>
                        </m:r>
                      </m:sub>
                      <m:sup>
                        <m:r>
                          <w:rPr>
                            <w:rFonts w:ascii="Cambria Math" w:eastAsia="Calibri" w:hAnsi="Cambria Math" w:cs="Times New Roman"/>
                          </w:rPr>
                          <m:t>*</m:t>
                        </m:r>
                      </m:sup>
                      <m:e>
                        <m:sSup>
                          <m:sSupPr>
                            <m:ctrlPr>
                              <w:rPr>
                                <w:rFonts w:ascii="Cambria Math" w:eastAsia="Calibri" w:hAnsi="Cambria Math" w:cs="Times New Roman"/>
                                <w:iCs/>
                              </w:rPr>
                            </m:ctrlPr>
                          </m:sSupPr>
                          <m:e>
                            <m:r>
                              <m:rPr>
                                <m:sty m:val="p"/>
                              </m:rPr>
                              <w:rPr>
                                <w:rFonts w:ascii="Cambria Math" w:eastAsia="Calibri" w:hAnsi="Cambria Math" w:cs="Times New Roman"/>
                              </w:rPr>
                              <m:t>S</m:t>
                            </m:r>
                          </m:e>
                          <m:sup>
                            <m:r>
                              <m:rPr>
                                <m:sty m:val="p"/>
                              </m:rPr>
                              <w:rPr>
                                <w:rFonts w:ascii="Cambria Math" w:eastAsia="Calibri" w:hAnsi="Cambria Math" w:cs="Times New Roman"/>
                              </w:rPr>
                              <m:t>2-</m:t>
                            </m:r>
                          </m:sup>
                        </m:sSup>
                      </m:e>
                    </m:sPre>
                  </m:sub>
                </m:sSub>
              </m:oMath>
            </m:oMathPara>
          </w:p>
        </w:tc>
        <w:tc>
          <w:tcPr>
            <w:tcW w:w="1500" w:type="dxa"/>
            <w:tcBorders>
              <w:top w:val="nil"/>
              <w:bottom w:val="nil"/>
            </w:tcBorders>
          </w:tcPr>
          <w:p w14:paraId="34EDF8D6" w14:textId="77777777" w:rsidR="00715FB3" w:rsidRDefault="00715FB3" w:rsidP="000B6300">
            <w:pPr>
              <w:jc w:val="both"/>
              <w:rPr>
                <w:rFonts w:ascii="Times New Roman" w:hAnsi="Times New Roman" w:cs="Times New Roman"/>
              </w:rPr>
            </w:pPr>
            <w:r>
              <w:rPr>
                <w:rFonts w:ascii="Times New Roman" w:hAnsi="Times New Roman" w:cs="Times New Roman"/>
              </w:rPr>
              <w:t>Silicates</w:t>
            </w:r>
          </w:p>
        </w:tc>
        <w:tc>
          <w:tcPr>
            <w:tcW w:w="1559" w:type="dxa"/>
            <w:tcBorders>
              <w:top w:val="nil"/>
              <w:bottom w:val="nil"/>
            </w:tcBorders>
          </w:tcPr>
          <w:p w14:paraId="287006F4" w14:textId="79A4FEC5" w:rsidR="00715FB3" w:rsidRPr="000B6300" w:rsidRDefault="00804FB8" w:rsidP="000B6300">
            <w:pPr>
              <w:jc w:val="right"/>
              <w:rPr>
                <w:rFonts w:ascii="Times New Roman" w:hAnsi="Times New Roman" w:cs="Times New Roman"/>
              </w:rPr>
            </w:pPr>
            <w:r>
              <w:rPr>
                <w:rFonts w:ascii="Times New Roman" w:hAnsi="Times New Roman" w:cs="Times New Roman"/>
              </w:rPr>
              <w:t>1</w:t>
            </w:r>
          </w:p>
        </w:tc>
        <w:tc>
          <w:tcPr>
            <w:tcW w:w="1559" w:type="dxa"/>
            <w:tcBorders>
              <w:top w:val="nil"/>
              <w:bottom w:val="nil"/>
            </w:tcBorders>
          </w:tcPr>
          <w:p w14:paraId="6CC796FB" w14:textId="1D945481" w:rsidR="00715FB3" w:rsidRPr="006B6E47" w:rsidRDefault="00804FB8" w:rsidP="000B6300">
            <w:pPr>
              <w:jc w:val="right"/>
              <w:rPr>
                <w:rFonts w:ascii="Times New Roman" w:hAnsi="Times New Roman" w:cs="Times New Roman"/>
                <w:i/>
                <w:iCs/>
              </w:rPr>
            </w:pPr>
            <w:r>
              <w:rPr>
                <w:rFonts w:ascii="Times New Roman" w:hAnsi="Times New Roman" w:cs="Times New Roman"/>
              </w:rPr>
              <w:t>1200–1500</w:t>
            </w:r>
          </w:p>
        </w:tc>
        <w:tc>
          <w:tcPr>
            <w:tcW w:w="3209" w:type="dxa"/>
            <w:tcBorders>
              <w:top w:val="nil"/>
              <w:bottom w:val="nil"/>
            </w:tcBorders>
          </w:tcPr>
          <w:p w14:paraId="3FF7FAF1" w14:textId="5BAF2E8A" w:rsidR="00715FB3" w:rsidRPr="0013038B" w:rsidRDefault="0013038B" w:rsidP="000B6300">
            <w:pPr>
              <w:jc w:val="both"/>
              <w:rPr>
                <w:rFonts w:ascii="Times New Roman" w:hAnsi="Times New Roman" w:cs="Times New Roman"/>
              </w:rPr>
            </w:pPr>
            <w:r w:rsidRPr="0013038B">
              <w:rPr>
                <w:rFonts w:ascii="Times New Roman" w:hAnsi="Times New Roman" w:cs="Times New Roman"/>
              </w:rPr>
              <w:fldChar w:fldCharType="begin" w:fldLock="1"/>
            </w:r>
            <w:r>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Basalts.","type":"chapter"},"uris":["http://www.mendeley.com/documents/?uuid=6f3ae3ca-6ecd-3137-8bfc-f37a8f3fea2a"]}],"mendeley":{"formattedCitation":"(O’Neill, 2021)","manualFormatting":"O’Neill (2021)","plainTextFormattedCitation":"(O’Neill, 2021)","previouslyFormattedCitation":"(O’Neill, 2021)"},"properties":{"noteIndex":0},"schema":"https://github.com/citation-style-language/schema/raw/master/csl-citation.json"}</w:instrText>
            </w:r>
            <w:r w:rsidRPr="0013038B">
              <w:rPr>
                <w:rFonts w:ascii="Times New Roman" w:hAnsi="Times New Roman" w:cs="Times New Roman"/>
              </w:rPr>
              <w:fldChar w:fldCharType="separate"/>
            </w:r>
            <w:r w:rsidRPr="001827DE">
              <w:rPr>
                <w:rFonts w:ascii="Times New Roman" w:hAnsi="Times New Roman" w:cs="Times New Roman"/>
                <w:noProof/>
              </w:rPr>
              <w:t>O’Neill (2021)</w:t>
            </w:r>
            <w:r w:rsidRPr="0013038B">
              <w:rPr>
                <w:rFonts w:ascii="Times New Roman" w:hAnsi="Times New Roman" w:cs="Times New Roman"/>
              </w:rPr>
              <w:fldChar w:fldCharType="end"/>
            </w:r>
          </w:p>
        </w:tc>
      </w:tr>
      <w:tr w:rsidR="004358B7" w14:paraId="190CAAE1" w14:textId="77777777" w:rsidTr="00095A1C">
        <w:tc>
          <w:tcPr>
            <w:tcW w:w="1189" w:type="dxa"/>
            <w:tcBorders>
              <w:top w:val="nil"/>
              <w:bottom w:val="nil"/>
            </w:tcBorders>
          </w:tcPr>
          <w:p w14:paraId="14A3C9B1"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Sup>
                      <m:sSubSupPr>
                        <m:ctrlPr>
                          <w:rPr>
                            <w:rFonts w:ascii="Cambria Math" w:eastAsia="Calibri" w:hAnsi="Cambria Math" w:cs="Times New Roman"/>
                            <w:iCs/>
                          </w:rPr>
                        </m:ctrlPr>
                      </m:sSubSupPr>
                      <m:e>
                        <m:r>
                          <m:rPr>
                            <m:sty m:val="p"/>
                          </m:rPr>
                          <w:rPr>
                            <w:rFonts w:ascii="Cambria Math" w:eastAsia="Calibri" w:hAnsi="Cambria Math" w:cs="Times New Roman"/>
                          </w:rPr>
                          <m:t>SO</m:t>
                        </m:r>
                      </m:e>
                      <m:sub>
                        <m:r>
                          <m:rPr>
                            <m:sty m:val="p"/>
                          </m:rPr>
                          <w:rPr>
                            <w:rFonts w:ascii="Cambria Math" w:eastAsia="Calibri" w:hAnsi="Cambria Math" w:cs="Times New Roman"/>
                          </w:rPr>
                          <m:t>4</m:t>
                        </m:r>
                      </m:sub>
                      <m:sup>
                        <m:r>
                          <m:rPr>
                            <m:sty m:val="p"/>
                          </m:rPr>
                          <w:rPr>
                            <w:rFonts w:ascii="Cambria Math" w:eastAsia="Calibri" w:hAnsi="Cambria Math" w:cs="Times New Roman"/>
                          </w:rPr>
                          <m:t>2-</m:t>
                        </m:r>
                      </m:sup>
                    </m:sSubSup>
                  </m:sub>
                </m:sSub>
              </m:oMath>
            </m:oMathPara>
          </w:p>
        </w:tc>
        <w:tc>
          <w:tcPr>
            <w:tcW w:w="1500" w:type="dxa"/>
            <w:tcBorders>
              <w:top w:val="nil"/>
              <w:bottom w:val="nil"/>
            </w:tcBorders>
          </w:tcPr>
          <w:p w14:paraId="6A7D4884" w14:textId="77777777" w:rsidR="00715FB3" w:rsidRDefault="00715FB3" w:rsidP="000B6300">
            <w:pPr>
              <w:jc w:val="both"/>
              <w:rPr>
                <w:rFonts w:ascii="Times New Roman" w:hAnsi="Times New Roman" w:cs="Times New Roman"/>
              </w:rPr>
            </w:pPr>
            <w:r>
              <w:rPr>
                <w:rFonts w:ascii="Times New Roman" w:hAnsi="Times New Roman" w:cs="Times New Roman"/>
              </w:rPr>
              <w:t>Silicates</w:t>
            </w:r>
          </w:p>
        </w:tc>
        <w:tc>
          <w:tcPr>
            <w:tcW w:w="1559" w:type="dxa"/>
            <w:tcBorders>
              <w:top w:val="nil"/>
              <w:bottom w:val="nil"/>
            </w:tcBorders>
          </w:tcPr>
          <w:p w14:paraId="6353D927" w14:textId="223AEB2E" w:rsidR="00715FB3" w:rsidRPr="000B6300" w:rsidRDefault="00804FB8" w:rsidP="000B6300">
            <w:pPr>
              <w:jc w:val="right"/>
              <w:rPr>
                <w:rFonts w:ascii="Times New Roman" w:hAnsi="Times New Roman" w:cs="Times New Roman"/>
              </w:rPr>
            </w:pPr>
            <w:r>
              <w:rPr>
                <w:rFonts w:ascii="Times New Roman" w:hAnsi="Times New Roman" w:cs="Times New Roman"/>
              </w:rPr>
              <w:t>1</w:t>
            </w:r>
          </w:p>
        </w:tc>
        <w:tc>
          <w:tcPr>
            <w:tcW w:w="1559" w:type="dxa"/>
            <w:tcBorders>
              <w:top w:val="nil"/>
              <w:bottom w:val="nil"/>
            </w:tcBorders>
          </w:tcPr>
          <w:p w14:paraId="22BE87E9" w14:textId="1091C672" w:rsidR="00715FB3" w:rsidRPr="00804FB8" w:rsidRDefault="00804FB8" w:rsidP="000B6300">
            <w:pPr>
              <w:jc w:val="right"/>
              <w:rPr>
                <w:rFonts w:ascii="Times New Roman" w:hAnsi="Times New Roman" w:cs="Times New Roman"/>
                <w:i/>
                <w:iCs/>
              </w:rPr>
            </w:pPr>
            <w:r>
              <w:rPr>
                <w:rFonts w:ascii="Times New Roman" w:hAnsi="Times New Roman" w:cs="Times New Roman"/>
              </w:rPr>
              <w:t>1200–1500</w:t>
            </w:r>
          </w:p>
        </w:tc>
        <w:tc>
          <w:tcPr>
            <w:tcW w:w="3209" w:type="dxa"/>
            <w:tcBorders>
              <w:top w:val="nil"/>
              <w:bottom w:val="nil"/>
            </w:tcBorders>
          </w:tcPr>
          <w:p w14:paraId="0270A7DA" w14:textId="182CC595" w:rsidR="00715FB3" w:rsidRPr="000B6300" w:rsidRDefault="0013038B" w:rsidP="0013038B">
            <w:pPr>
              <w:rPr>
                <w:rFonts w:ascii="Times New Roman" w:hAnsi="Times New Roman" w:cs="Times New Roman"/>
              </w:rPr>
            </w:pPr>
            <w:r w:rsidRPr="0013038B">
              <w:rPr>
                <w:rFonts w:ascii="Times New Roman" w:hAnsi="Times New Roman" w:cs="Times New Roman"/>
              </w:rPr>
              <w:fldChar w:fldCharType="begin" w:fldLock="1"/>
            </w:r>
            <w:r w:rsidR="00923A61">
              <w:rPr>
                <w:rFonts w:ascii="Times New Roman" w:hAnsi="Times New Roman" w:cs="Times New Roman"/>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melts","type":"article-journal"},"uris":["http://www.mendeley.com/documents/?uuid=28383afe-41b6-312f-a795-212a394fed74"]}],"mendeley":{"formattedCitation":"(O’Neill and Mavrogenes, 2022)","manualFormatting":"O’Neill and Mavrogenes (2022)","plainTextFormattedCitation":"(O’Neill and Mavrogenes, 2022)","previouslyFormattedCitation":"(O’Neill and Mavrogenes, 2022)"},"properties":{"noteIndex":0},"schema":"https://github.com/citation-style-language/schema/raw/master/csl-citation.json"}</w:instrText>
            </w:r>
            <w:r w:rsidRPr="0013038B">
              <w:rPr>
                <w:rFonts w:ascii="Times New Roman" w:hAnsi="Times New Roman" w:cs="Times New Roman"/>
              </w:rPr>
              <w:fldChar w:fldCharType="separate"/>
            </w:r>
            <w:r w:rsidRPr="001827DE">
              <w:rPr>
                <w:rFonts w:ascii="Times New Roman" w:hAnsi="Times New Roman" w:cs="Times New Roman"/>
                <w:noProof/>
              </w:rPr>
              <w:t>O’Neill and Mavrogenes (2022)</w:t>
            </w:r>
            <w:r w:rsidRPr="0013038B">
              <w:rPr>
                <w:rFonts w:ascii="Times New Roman" w:hAnsi="Times New Roman" w:cs="Times New Roman"/>
              </w:rPr>
              <w:fldChar w:fldCharType="end"/>
            </w:r>
          </w:p>
        </w:tc>
      </w:tr>
      <w:tr w:rsidR="004358B7" w14:paraId="0317F740" w14:textId="77777777" w:rsidTr="00095A1C">
        <w:tc>
          <w:tcPr>
            <w:tcW w:w="1189" w:type="dxa"/>
            <w:tcBorders>
              <w:top w:val="nil"/>
            </w:tcBorders>
          </w:tcPr>
          <w:p w14:paraId="63993113" w14:textId="77777777" w:rsidR="00715FB3" w:rsidRPr="001D0ED0" w:rsidRDefault="00063B50" w:rsidP="000B6300">
            <w:pPr>
              <w:jc w:val="both"/>
              <w:rPr>
                <w:rFonts w:ascii="Times New Roman" w:eastAsia="Calibri" w:hAnsi="Times New Roman"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C</m:t>
                    </m:r>
                  </m:e>
                  <m:sub>
                    <m:sSub>
                      <m:sSubPr>
                        <m:ctrlPr>
                          <w:rPr>
                            <w:rFonts w:ascii="Cambria Math" w:eastAsia="Calibri" w:hAnsi="Cambria Math" w:cs="Times New Roman"/>
                          </w:rPr>
                        </m:ctrlPr>
                      </m:sSubPr>
                      <m:e>
                        <m:r>
                          <m:rPr>
                            <m:sty m:val="p"/>
                          </m:rPr>
                          <w:rPr>
                            <w:rFonts w:ascii="Cambria Math" w:eastAsia="Calibri" w:hAnsi="Cambria Math" w:cs="Times New Roman"/>
                          </w:rPr>
                          <m:t>H</m:t>
                        </m:r>
                      </m:e>
                      <m:sub>
                        <m:r>
                          <m:rPr>
                            <m:sty m:val="p"/>
                          </m:rPr>
                          <w:rPr>
                            <w:rFonts w:ascii="Cambria Math" w:eastAsia="Calibri" w:hAnsi="Cambria Math" w:cs="Times New Roman"/>
                          </w:rPr>
                          <m:t>2</m:t>
                        </m:r>
                      </m:sub>
                    </m:sSub>
                    <m:sSub>
                      <m:sSubPr>
                        <m:ctrlPr>
                          <w:rPr>
                            <w:rFonts w:ascii="Cambria Math" w:eastAsia="Calibri" w:hAnsi="Cambria Math" w:cs="Times New Roman"/>
                          </w:rPr>
                        </m:ctrlPr>
                      </m:sSubPr>
                      <m:e>
                        <m:r>
                          <m:rPr>
                            <m:sty m:val="p"/>
                          </m:rPr>
                          <w:rPr>
                            <w:rFonts w:ascii="Cambria Math" w:eastAsia="Calibri" w:hAnsi="Cambria Math" w:cs="Times New Roman"/>
                          </w:rPr>
                          <m:t>S</m:t>
                        </m:r>
                      </m:e>
                      <m:sub>
                        <m:r>
                          <m:rPr>
                            <m:sty m:val="p"/>
                          </m:rPr>
                          <w:rPr>
                            <w:rFonts w:ascii="Cambria Math" w:eastAsia="Calibri" w:hAnsi="Cambria Math" w:cs="Times New Roman"/>
                          </w:rPr>
                          <m:t>mol</m:t>
                        </m:r>
                      </m:sub>
                    </m:sSub>
                  </m:sub>
                </m:sSub>
              </m:oMath>
            </m:oMathPara>
          </w:p>
        </w:tc>
        <w:tc>
          <w:tcPr>
            <w:tcW w:w="1500" w:type="dxa"/>
            <w:tcBorders>
              <w:top w:val="nil"/>
            </w:tcBorders>
          </w:tcPr>
          <w:p w14:paraId="06FC84C4" w14:textId="77777777" w:rsidR="00715FB3" w:rsidRDefault="00715FB3" w:rsidP="000B6300">
            <w:pPr>
              <w:jc w:val="both"/>
              <w:rPr>
                <w:rFonts w:ascii="Times New Roman" w:hAnsi="Times New Roman" w:cs="Times New Roman"/>
              </w:rPr>
            </w:pPr>
            <w:r>
              <w:rPr>
                <w:rFonts w:ascii="Times New Roman" w:hAnsi="Times New Roman" w:cs="Times New Roman"/>
              </w:rPr>
              <w:t>Basalt</w:t>
            </w:r>
          </w:p>
        </w:tc>
        <w:tc>
          <w:tcPr>
            <w:tcW w:w="1559" w:type="dxa"/>
            <w:tcBorders>
              <w:top w:val="nil"/>
            </w:tcBorders>
          </w:tcPr>
          <w:p w14:paraId="207E0508" w14:textId="2C2B159C" w:rsidR="00715FB3" w:rsidRPr="000B6300" w:rsidRDefault="00804FB8" w:rsidP="000B6300">
            <w:pPr>
              <w:jc w:val="right"/>
              <w:rPr>
                <w:rFonts w:ascii="Times New Roman" w:hAnsi="Times New Roman" w:cs="Times New Roman"/>
              </w:rPr>
            </w:pPr>
            <w:r>
              <w:rPr>
                <w:rFonts w:ascii="Times New Roman" w:hAnsi="Times New Roman" w:cs="Times New Roman"/>
              </w:rPr>
              <w:t>2040–3120</w:t>
            </w:r>
          </w:p>
        </w:tc>
        <w:tc>
          <w:tcPr>
            <w:tcW w:w="1559" w:type="dxa"/>
            <w:tcBorders>
              <w:top w:val="nil"/>
            </w:tcBorders>
          </w:tcPr>
          <w:p w14:paraId="1D93D5BB" w14:textId="0BE8CE7A" w:rsidR="00715FB3" w:rsidRPr="000B6300" w:rsidRDefault="00804FB8" w:rsidP="000B6300">
            <w:pPr>
              <w:jc w:val="right"/>
              <w:rPr>
                <w:rFonts w:ascii="Times New Roman" w:hAnsi="Times New Roman" w:cs="Times New Roman"/>
              </w:rPr>
            </w:pPr>
            <w:r>
              <w:rPr>
                <w:rFonts w:ascii="Times New Roman" w:hAnsi="Times New Roman" w:cs="Times New Roman"/>
              </w:rPr>
              <w:t>1050</w:t>
            </w:r>
          </w:p>
        </w:tc>
        <w:tc>
          <w:tcPr>
            <w:tcW w:w="3209" w:type="dxa"/>
            <w:tcBorders>
              <w:top w:val="nil"/>
            </w:tcBorders>
          </w:tcPr>
          <w:p w14:paraId="4B7B27E5" w14:textId="77777777" w:rsidR="00715FB3" w:rsidRPr="000B6300" w:rsidRDefault="00715FB3" w:rsidP="000B6300">
            <w:pPr>
              <w:jc w:val="both"/>
              <w:rPr>
                <w:rFonts w:ascii="Times New Roman" w:hAnsi="Times New Roman" w:cs="Times New Roman"/>
              </w:rPr>
            </w:pPr>
            <w:r>
              <w:rPr>
                <w:rFonts w:ascii="Times New Roman" w:hAnsi="Times New Roman" w:cs="Times New Roman"/>
              </w:rPr>
              <w:t>This study</w:t>
            </w:r>
          </w:p>
        </w:tc>
      </w:tr>
      <w:tr w:rsidR="00715FB3" w14:paraId="7E6A2C25" w14:textId="77777777" w:rsidTr="000B6300">
        <w:tc>
          <w:tcPr>
            <w:tcW w:w="9016" w:type="dxa"/>
            <w:gridSpan w:val="5"/>
          </w:tcPr>
          <w:p w14:paraId="46D542A2" w14:textId="77777777" w:rsidR="00715FB3" w:rsidRPr="006B6E47" w:rsidRDefault="00715FB3" w:rsidP="000B6300">
            <w:pPr>
              <w:jc w:val="both"/>
              <w:rPr>
                <w:rFonts w:ascii="Times New Roman" w:hAnsi="Times New Roman" w:cs="Times New Roman"/>
                <w:i/>
                <w:iCs/>
              </w:rPr>
            </w:pPr>
            <w:r w:rsidRPr="000B6300">
              <w:rPr>
                <w:rFonts w:ascii="Times New Roman" w:eastAsia="Calibri" w:hAnsi="Times New Roman" w:cs="Times New Roman"/>
                <w:i/>
                <w:iCs/>
              </w:rPr>
              <w:t>Other</w:t>
            </w:r>
          </w:p>
        </w:tc>
      </w:tr>
      <w:tr w:rsidR="004358B7" w14:paraId="2287DF3F" w14:textId="77777777" w:rsidTr="00095A1C">
        <w:tc>
          <w:tcPr>
            <w:tcW w:w="1189" w:type="dxa"/>
          </w:tcPr>
          <w:p w14:paraId="4A2C8BD7" w14:textId="77777777" w:rsidR="00715FB3" w:rsidRDefault="00715FB3" w:rsidP="000B6300">
            <w:pPr>
              <w:jc w:val="both"/>
              <w:rPr>
                <w:rFonts w:ascii="Times New Roman" w:eastAsia="Calibri" w:hAnsi="Times New Roman" w:cs="Times New Roman"/>
              </w:rPr>
            </w:pPr>
            <w:r>
              <w:rPr>
                <w:rFonts w:ascii="Times New Roman" w:eastAsia="Calibri" w:hAnsi="Times New Roman" w:cs="Times New Roman"/>
              </w:rPr>
              <w:t>Fe</w:t>
            </w:r>
            <w:r w:rsidRPr="000B6300">
              <w:rPr>
                <w:rFonts w:ascii="Times New Roman" w:eastAsia="Calibri" w:hAnsi="Times New Roman" w:cs="Times New Roman"/>
                <w:vertAlign w:val="superscript"/>
              </w:rPr>
              <w:t>3+</w:t>
            </w:r>
            <w:r>
              <w:rPr>
                <w:rFonts w:ascii="Times New Roman" w:eastAsia="Calibri" w:hAnsi="Times New Roman" w:cs="Times New Roman"/>
              </w:rPr>
              <w:t>/</w:t>
            </w:r>
            <w:proofErr w:type="spellStart"/>
            <w:r>
              <w:rPr>
                <w:rFonts w:ascii="Times New Roman" w:eastAsia="Calibri" w:hAnsi="Times New Roman" w:cs="Times New Roman"/>
              </w:rPr>
              <w:t>Fe</w:t>
            </w:r>
            <w:r w:rsidRPr="000B6300">
              <w:rPr>
                <w:rFonts w:ascii="Times New Roman" w:eastAsia="Calibri" w:hAnsi="Times New Roman" w:cs="Times New Roman"/>
                <w:vertAlign w:val="subscript"/>
              </w:rPr>
              <w:t>T</w:t>
            </w:r>
            <w:proofErr w:type="spellEnd"/>
          </w:p>
        </w:tc>
        <w:tc>
          <w:tcPr>
            <w:tcW w:w="1500" w:type="dxa"/>
          </w:tcPr>
          <w:p w14:paraId="29FD8F73" w14:textId="77777777" w:rsidR="00715FB3" w:rsidRDefault="00715FB3" w:rsidP="000B6300">
            <w:pPr>
              <w:jc w:val="both"/>
              <w:rPr>
                <w:rFonts w:ascii="Times New Roman" w:hAnsi="Times New Roman" w:cs="Times New Roman"/>
              </w:rPr>
            </w:pPr>
            <w:r>
              <w:rPr>
                <w:rFonts w:ascii="Times New Roman" w:hAnsi="Times New Roman" w:cs="Times New Roman"/>
              </w:rPr>
              <w:t>Silicates</w:t>
            </w:r>
          </w:p>
        </w:tc>
        <w:tc>
          <w:tcPr>
            <w:tcW w:w="1559" w:type="dxa"/>
          </w:tcPr>
          <w:p w14:paraId="7F74E82B" w14:textId="7027B71A" w:rsidR="00715FB3" w:rsidRPr="000B6300" w:rsidRDefault="00804FB8" w:rsidP="000B6300">
            <w:pPr>
              <w:jc w:val="right"/>
              <w:rPr>
                <w:rFonts w:ascii="Times New Roman" w:hAnsi="Times New Roman" w:cs="Times New Roman"/>
              </w:rPr>
            </w:pPr>
            <w:r w:rsidRPr="000B6300">
              <w:rPr>
                <w:rFonts w:ascii="Times New Roman" w:hAnsi="Times New Roman" w:cs="Times New Roman"/>
              </w:rPr>
              <w:t>1</w:t>
            </w:r>
            <w:r>
              <w:rPr>
                <w:rFonts w:ascii="Times New Roman" w:hAnsi="Times New Roman" w:cs="Times New Roman"/>
              </w:rPr>
              <w:t>–</w:t>
            </w:r>
            <w:r w:rsidRPr="000B6300">
              <w:rPr>
                <w:rFonts w:ascii="Times New Roman" w:hAnsi="Times New Roman" w:cs="Times New Roman"/>
              </w:rPr>
              <w:t>?30000</w:t>
            </w:r>
          </w:p>
        </w:tc>
        <w:tc>
          <w:tcPr>
            <w:tcW w:w="1559" w:type="dxa"/>
          </w:tcPr>
          <w:p w14:paraId="42FBBF12" w14:textId="11E3EDD5" w:rsidR="00715FB3" w:rsidRPr="000B6300" w:rsidRDefault="00804FB8" w:rsidP="000B6300">
            <w:pPr>
              <w:jc w:val="right"/>
              <w:rPr>
                <w:rFonts w:ascii="Times New Roman" w:hAnsi="Times New Roman" w:cs="Times New Roman"/>
              </w:rPr>
            </w:pPr>
            <w:r>
              <w:rPr>
                <w:rFonts w:ascii="Times New Roman" w:hAnsi="Times New Roman" w:cs="Times New Roman"/>
              </w:rPr>
              <w:t>1200–1630</w:t>
            </w:r>
            <w:r w:rsidR="00715FB3">
              <w:rPr>
                <w:rFonts w:ascii="Times New Roman" w:hAnsi="Times New Roman" w:cs="Times New Roman"/>
              </w:rPr>
              <w:t xml:space="preserve"> </w:t>
            </w:r>
          </w:p>
        </w:tc>
        <w:tc>
          <w:tcPr>
            <w:tcW w:w="3209" w:type="dxa"/>
          </w:tcPr>
          <w:p w14:paraId="4EDDDC59" w14:textId="2DE0FF96" w:rsidR="00715FB3" w:rsidRPr="000B6300" w:rsidRDefault="0013038B" w:rsidP="0013038B">
            <w:pPr>
              <w:rPr>
                <w:rFonts w:ascii="Times New Roman" w:hAnsi="Times New Roman" w:cs="Times New Roman"/>
              </w:rPr>
            </w:pPr>
            <w:r w:rsidRPr="0013038B">
              <w:rPr>
                <w:rFonts w:ascii="Times New Roman" w:hAnsi="Times New Roman" w:cs="Times New Roman"/>
              </w:rPr>
              <w:fldChar w:fldCharType="begin" w:fldLock="1"/>
            </w:r>
            <w:r>
              <w:rPr>
                <w:rFonts w:ascii="Times New Roman" w:hAnsi="Times New Roman" w:cs="Times New Roman"/>
              </w:rPr>
              <w:instrText>ADDIN CSL_CITATION {"citationItems":[{"id":"ITEM-1","itemData":{"DOI":"10.1007/BF00307328","ISSN":"0010-7999","author":[{"dropping-particle":"","family":"Kress","given":"Victor C.","non-dropping-particle":"","parse-names":false,"suffix":""},{"dropping-particle":"","family":"Carmichael","given":"Ian S.E.","non-dropping-particle":"","parse-names":false,"suffix":""}],"container-title":"Contributions to Mineralogy and Petrology","id":"ITEM-1","issue":"1-2","issued":{"date-parts":[["1991","7"]]},"page":"82-92","publisher":"Springer-Verlag","title":"The compressibility of silicate liquids containing Fe2O3 and the effect of composition, temperature, oxygen fugacity and pressure on their redox states","type":"article-journal","volume":"108"},"uris":["http://www.mendeley.com/documents/?uuid=4fd02c6e-2af3-3005-b01a-e2a8c18e2b90"]}],"mendeley":{"formattedCitation":"(Kress and Carmichael, 1991)","manualFormatting":"Kress and Carmichael (1991)","plainTextFormattedCitation":"(Kress and Carmichael, 1991)","previouslyFormattedCitation":"(Kress and Carmichael, 1991)"},"properties":{"noteIndex":0},"schema":"https://github.com/citation-style-language/schema/raw/master/csl-citation.json"}</w:instrText>
            </w:r>
            <w:r w:rsidRPr="0013038B">
              <w:rPr>
                <w:rFonts w:ascii="Times New Roman" w:hAnsi="Times New Roman" w:cs="Times New Roman"/>
              </w:rPr>
              <w:fldChar w:fldCharType="separate"/>
            </w:r>
            <w:r w:rsidRPr="001827DE">
              <w:rPr>
                <w:rFonts w:ascii="Times New Roman" w:hAnsi="Times New Roman" w:cs="Times New Roman"/>
                <w:noProof/>
              </w:rPr>
              <w:t>Kress and Carmichael (1991)</w:t>
            </w:r>
            <w:r w:rsidRPr="0013038B">
              <w:rPr>
                <w:rFonts w:ascii="Times New Roman" w:hAnsi="Times New Roman" w:cs="Times New Roman"/>
              </w:rPr>
              <w:fldChar w:fldCharType="end"/>
            </w:r>
          </w:p>
        </w:tc>
      </w:tr>
    </w:tbl>
    <w:p w14:paraId="325FEA03" w14:textId="4398EB63" w:rsidR="00715FB3" w:rsidRPr="004168B8" w:rsidRDefault="00715FB3" w:rsidP="004168B8">
      <w:pPr>
        <w:jc w:val="both"/>
        <w:rPr>
          <w:rFonts w:ascii="Times New Roman" w:hAnsi="Times New Roman" w:cs="Times New Roman"/>
        </w:rPr>
      </w:pPr>
      <w:r w:rsidRPr="00F81B70">
        <w:rPr>
          <w:rFonts w:ascii="Times New Roman" w:hAnsi="Times New Roman" w:cs="Times New Roman"/>
        </w:rPr>
        <w:t xml:space="preserve"> </w:t>
      </w:r>
      <w:r w:rsidRPr="00F81B70">
        <w:rPr>
          <w:rFonts w:ascii="Times New Roman" w:hAnsi="Times New Roman" w:cs="Times New Roman"/>
          <w:i/>
          <w:iCs/>
        </w:rPr>
        <w:t>Notes:</w:t>
      </w:r>
      <w:r w:rsidRPr="00F81B70">
        <w:rPr>
          <w:rFonts w:ascii="Times New Roman" w:hAnsi="Times New Roman" w:cs="Times New Roman"/>
        </w:rPr>
        <w:t xml:space="preserve"> Composition, </w:t>
      </w:r>
      <w:r w:rsidR="002A3F34" w:rsidRPr="00147AF9">
        <w:rPr>
          <w:rFonts w:ascii="Times New Roman" w:hAnsi="Times New Roman" w:cs="Times New Roman"/>
          <w:i/>
          <w:iCs/>
        </w:rPr>
        <w:t>P</w:t>
      </w:r>
      <w:r w:rsidRPr="00F81B70">
        <w:rPr>
          <w:rFonts w:ascii="Times New Roman" w:hAnsi="Times New Roman" w:cs="Times New Roman"/>
        </w:rPr>
        <w:t xml:space="preserve">, and </w:t>
      </w:r>
      <w:r w:rsidR="002A3F34" w:rsidRPr="00147AF9">
        <w:rPr>
          <w:rFonts w:ascii="Times New Roman" w:hAnsi="Times New Roman" w:cs="Times New Roman"/>
          <w:i/>
          <w:iCs/>
        </w:rPr>
        <w:t>T</w:t>
      </w:r>
      <w:r w:rsidRPr="00F81B70">
        <w:rPr>
          <w:rFonts w:ascii="Times New Roman" w:hAnsi="Times New Roman" w:cs="Times New Roman"/>
        </w:rPr>
        <w:t xml:space="preserve"> range are stated in the reference paper or based on the range of experimental conditions used. n/a = not applicable. Although not stated in the papers, equilibrium constants for homogeneous reactions will be applicable at magmatic temperatures.</w:t>
      </w:r>
    </w:p>
    <w:p w14:paraId="6D562550" w14:textId="77777777" w:rsidR="00715FB3" w:rsidRPr="00267421" w:rsidRDefault="00715FB3" w:rsidP="00267421">
      <w:pPr>
        <w:spacing w:after="160"/>
        <w:jc w:val="both"/>
        <w:rPr>
          <w:rFonts w:ascii="Times New Roman" w:hAnsi="Times New Roman" w:cs="Times New Roman"/>
          <w:color w:val="FF0000"/>
        </w:rPr>
      </w:pPr>
    </w:p>
    <w:p w14:paraId="45BDA80E" w14:textId="4314EEA4" w:rsidR="004876F7" w:rsidRDefault="00021ACC" w:rsidP="00021ACC">
      <w:pPr>
        <w:pStyle w:val="Heading2"/>
      </w:pPr>
      <w:r>
        <w:lastRenderedPageBreak/>
        <w:t>Melt</w:t>
      </w:r>
    </w:p>
    <w:p w14:paraId="3C20F4F4" w14:textId="7D45D8C3" w:rsidR="00E31290" w:rsidRDefault="002A5ACE" w:rsidP="00147AF9">
      <w:pPr>
        <w:pStyle w:val="NoSpacing"/>
        <w:ind w:firstLine="720"/>
        <w:jc w:val="both"/>
      </w:pPr>
      <w:r>
        <w:t xml:space="preserve">In the following sections, we detail the solubility functions used in our </w:t>
      </w:r>
      <w:r w:rsidR="00FD2F77">
        <w:t>framework</w:t>
      </w:r>
      <w:r w:rsidR="00715FB3">
        <w:t xml:space="preserve"> and</w:t>
      </w:r>
      <w:r>
        <w:t xml:space="preserve"> </w:t>
      </w:r>
      <w:r>
        <w:fldChar w:fldCharType="begin"/>
      </w:r>
      <w:r>
        <w:instrText xml:space="preserve"> REF _Ref118652786 \h </w:instrText>
      </w:r>
      <w:r w:rsidR="00FD2F77">
        <w:instrText xml:space="preserve"> \* MERGEFORMAT </w:instrText>
      </w:r>
      <w:r>
        <w:fldChar w:fldCharType="separate"/>
      </w:r>
      <w:r w:rsidRPr="000B6300">
        <w:rPr>
          <w:color w:val="000000" w:themeColor="text1"/>
        </w:rPr>
        <w:t xml:space="preserve">Table </w:t>
      </w:r>
      <w:r>
        <w:rPr>
          <w:color w:val="000000" w:themeColor="text1"/>
        </w:rPr>
        <w:t>S</w:t>
      </w:r>
      <w:r w:rsidRPr="000B6300">
        <w:rPr>
          <w:noProof/>
          <w:color w:val="000000" w:themeColor="text1"/>
        </w:rPr>
        <w:t>2</w:t>
      </w:r>
      <w:r>
        <w:fldChar w:fldCharType="end"/>
      </w:r>
      <w:r>
        <w:t xml:space="preserve"> </w:t>
      </w:r>
      <w:r w:rsidR="00715FB3">
        <w:t>summari</w:t>
      </w:r>
      <w:r w:rsidR="00804FB8">
        <w:t>s</w:t>
      </w:r>
      <w:r w:rsidR="00715FB3">
        <w:t>es</w:t>
      </w:r>
      <w:r>
        <w:t xml:space="preserve"> the compositional, </w:t>
      </w:r>
      <w:r>
        <w:rPr>
          <w:i/>
          <w:iCs/>
        </w:rPr>
        <w:t>P</w:t>
      </w:r>
      <w:r>
        <w:t xml:space="preserve">, and </w:t>
      </w:r>
      <w:r>
        <w:rPr>
          <w:i/>
          <w:iCs/>
        </w:rPr>
        <w:t>T</w:t>
      </w:r>
      <w:r>
        <w:t xml:space="preserve"> range for the </w:t>
      </w:r>
      <w:r w:rsidR="002A3F34">
        <w:t>solubilities</w:t>
      </w:r>
      <w:r w:rsidR="00715FB3">
        <w:t>.</w:t>
      </w:r>
      <w:r w:rsidR="00C62730">
        <w:t xml:space="preserve"> Other functions for </w:t>
      </w:r>
      <w:r w:rsidR="00FD2F77">
        <w:t xml:space="preserve">the </w:t>
      </w:r>
      <w:r w:rsidR="002A3F34">
        <w:t>solubilities</w:t>
      </w:r>
      <w:r w:rsidR="00C62730">
        <w:t xml:space="preserve"> can be added to our </w:t>
      </w:r>
      <w:r w:rsidR="00FD2F77">
        <w:t>framework</w:t>
      </w:r>
      <w:r w:rsidR="002A3F34">
        <w:t>,</w:t>
      </w:r>
      <w:r w:rsidR="00FD2F77">
        <w:t xml:space="preserve"> </w:t>
      </w:r>
      <w:proofErr w:type="gramStart"/>
      <w:r w:rsidR="00FD2F77">
        <w:t>as long as</w:t>
      </w:r>
      <w:proofErr w:type="gramEnd"/>
      <w:r w:rsidR="00FD2F77">
        <w:t xml:space="preserve"> they are for the solubility functions included</w:t>
      </w:r>
      <w:r w:rsidR="00C62730">
        <w:t>.</w:t>
      </w:r>
    </w:p>
    <w:p w14:paraId="2864ED60" w14:textId="77777777" w:rsidR="0006724B" w:rsidRPr="00E31290" w:rsidRDefault="0006724B" w:rsidP="00E31290"/>
    <w:p w14:paraId="6BE44C37" w14:textId="77777777" w:rsidR="00021ACC" w:rsidRPr="00021ACC" w:rsidRDefault="00021ACC" w:rsidP="00021ACC">
      <w:pPr>
        <w:pStyle w:val="Heading3"/>
        <w:jc w:val="both"/>
      </w:pPr>
      <w:bookmarkStart w:id="4" w:name="_Ref63943641"/>
      <w:r w:rsidRPr="00021ACC">
        <w:t>Carbon dioxide (CO</w:t>
      </w:r>
      <w:r w:rsidRPr="00021ACC">
        <w:rPr>
          <w:vertAlign w:val="subscript"/>
        </w:rPr>
        <w:t>2</w:t>
      </w:r>
      <w:r w:rsidRPr="00021ACC">
        <w:t>) solubility</w:t>
      </w:r>
      <w:bookmarkEnd w:id="4"/>
    </w:p>
    <w:p w14:paraId="304CBD30" w14:textId="21BA4E80" w:rsidR="00021ACC" w:rsidRPr="00021ACC" w:rsidRDefault="00021ACC" w:rsidP="00147AF9">
      <w:pPr>
        <w:ind w:firstLine="720"/>
        <w:jc w:val="both"/>
        <w:rPr>
          <w:rFonts w:ascii="Times New Roman" w:hAnsi="Times New Roman" w:cs="Times New Roman"/>
        </w:rPr>
      </w:pPr>
      <w:r w:rsidRPr="00021ACC">
        <w:rPr>
          <w:rFonts w:ascii="Times New Roman" w:hAnsi="Times New Roman" w:cs="Times New Roman"/>
        </w:rPr>
        <w:t>We describe the solubility of CO</w:t>
      </w:r>
      <w:r w:rsidRPr="00021ACC">
        <w:rPr>
          <w:rFonts w:ascii="Times New Roman" w:hAnsi="Times New Roman" w:cs="Times New Roman"/>
          <w:vertAlign w:val="subscript"/>
        </w:rPr>
        <w:t>2</w:t>
      </w:r>
      <w:r w:rsidRPr="00021ACC">
        <w:rPr>
          <w:rFonts w:ascii="Times New Roman" w:hAnsi="Times New Roman" w:cs="Times New Roman"/>
        </w:rPr>
        <w:t xml:space="preserve"> in basaltic melts using the following equilibrium</w:t>
      </w:r>
      <w:r w:rsidR="000F0BD4">
        <w:rPr>
          <w:rFonts w:ascii="Times New Roman" w:hAnsi="Times New Roman" w:cs="Times New Roman"/>
        </w:rPr>
        <w:t xml:space="preserve"> </w:t>
      </w:r>
      <w:r w:rsidR="000F0BD4">
        <w:rPr>
          <w:rFonts w:ascii="Times New Roman" w:hAnsi="Times New Roman"/>
        </w:rPr>
        <w:fldChar w:fldCharType="begin" w:fldLock="1"/>
      </w:r>
      <w:r w:rsidR="000F0BD4">
        <w:rPr>
          <w:rFonts w:ascii="Times New Roman" w:hAnsi="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sidR="000F0BD4">
        <w:rPr>
          <w:rFonts w:ascii="Cambria Math" w:hAnsi="Cambria Math" w:cs="Cambria Math"/>
        </w:rPr>
        <w:instrText>⋅</w:instrText>
      </w:r>
      <w:r w:rsidR="000F0BD4">
        <w:rPr>
          <w:rFonts w:ascii="Times New Roman" w:hAnsi="Times New Roman"/>
        </w:rPr>
        <w:instrText>67±0</w:instrText>
      </w:r>
      <w:r w:rsidR="000F0BD4">
        <w:rPr>
          <w:rFonts w:ascii="Cambria Math" w:hAnsi="Cambria Math" w:cs="Cambria Math"/>
        </w:rPr>
        <w:instrText>⋅</w:instrText>
      </w:r>
      <w:r w:rsidR="000F0BD4">
        <w:rPr>
          <w:rFonts w:ascii="Times New Roman" w:hAnsi="Times New Roman"/>
        </w:rPr>
        <w:instrText>03, 0</w:instrText>
      </w:r>
      <w:r w:rsidR="000F0BD4">
        <w:rPr>
          <w:rFonts w:ascii="Cambria Math" w:hAnsi="Cambria Math" w:cs="Cambria Math"/>
        </w:rPr>
        <w:instrText>⋅</w:instrText>
      </w:r>
      <w:r w:rsidR="000F0BD4">
        <w:rPr>
          <w:rFonts w:ascii="Times New Roman" w:hAnsi="Times New Roman"/>
        </w:rPr>
        <w:instrText>62±0</w:instrText>
      </w:r>
      <w:r w:rsidR="000F0BD4">
        <w:rPr>
          <w:rFonts w:ascii="Cambria Math" w:hAnsi="Cambria Math" w:cs="Cambria Math"/>
        </w:rPr>
        <w:instrText>⋅</w:instrText>
      </w:r>
      <w:r w:rsidR="000F0BD4">
        <w:rPr>
          <w:rFonts w:ascii="Times New Roman" w:hAnsi="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sidR="000F0BD4">
        <w:rPr>
          <w:rFonts w:ascii="Cambria Math" w:hAnsi="Cambria Math" w:cs="Cambria Math"/>
        </w:rPr>
        <w:instrText>⋅</w:instrText>
      </w:r>
      <w:r w:rsidR="000F0BD4">
        <w:rPr>
          <w:rFonts w:ascii="Times New Roman" w:hAnsi="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sidR="000F0BD4">
        <w:rPr>
          <w:rFonts w:ascii="Cambria Math" w:hAnsi="Cambria Math" w:cs="Cambria Math"/>
        </w:rPr>
        <w:instrText>⋅</w:instrText>
      </w:r>
      <w:r w:rsidR="000F0BD4">
        <w:rPr>
          <w:rFonts w:ascii="Times New Roman" w:hAnsi="Times New Roman"/>
        </w:rPr>
        <w:instrText xml:space="preserve">5 p.p.m. Our revised determination of CO2 solubility is </w:instrText>
      </w:r>
      <w:r w:rsidR="000F0BD4">
        <w:rPr>
          <w:rFonts w:ascii="Cambria Math" w:hAnsi="Cambria Math" w:cs="Cambria Math"/>
        </w:rPr>
        <w:instrText>∼</w:instrText>
      </w:r>
      <w:r w:rsidR="000F0BD4">
        <w:rPr>
          <w:rFonts w:ascii="Times New Roman" w:hAnsi="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models","type":"article-journal","volume":"36"},"uris":["http://www.mendeley.com/documents/?uuid=2e9900bf-0994-3bf3-bbcb-76f8502edb39"]},{"id":"ITEM-2","itemData":{"DOI":"10.1016/0012-821X(88)90004-0","ISSN":"0012-821X","abstract":"We report the first measurements of CO2 solubility in molten basalt at pressures comparable to those at which submarine basalts erupt. A basalt from the Juan de Fuca ridge was equilibrated with CO2-rich vapor at 1200°C, 100-1500 bar for up to four hours. After quenching, the glass was analyzed for dissolved carbonate ions by infrared spectroscopy. No forms of dissolved CO2 other than carbonate were detected. CO2 solubility is roughly a linear function of pressure at these low pressures. The experimentally determined solubility differs from previous estimates based on CO2 concentrations of submarine glasses, on CO2 solubilities in basaltic liquids at significantly higher pressures, and on CO2 concentrations of glasses equilibrated with H2OCO2 vapor. Our results are compatible with those obtained previously at higher pressures on a molten Kilauea tholeiite only if there is a significant positive dependence of carbonate solubility on temperature. CO2 contents of mid-ocean ridge glasses measured by infrared spectroscopy are generally higher than would be expected based on solubilities at the hydrostatic pressures for the water depths from which the glasses were recovered, but the lowest dissolved CO2 contents agree with the experimentally determined solubilities. We propose that submarine glasses with low CO2 contents were quenched from magmas that were able to degas because they rose slowly from depth. The common occurrence of glasses with dissolved CO2 contents in excess of the experimentally determined solubility suggests they were quenched from magmas that ascended too rapidly to degas fully. In conjunction with our solubility data, the highest CO2 contents allow minimum estimates of depths to magma chambers. Depths of ≥ 2.3 km beneath the ridge are indicated for the East Pacific Rise at 21°N, in agreement with geophysical constraints. © 1988.","author":[{"dropping-particle":"","family":"Stolper","given":"Edward M.","non-dropping-particle":"","parse-names":false,"suffix":""},{"dropping-particle":"","family":"Holloway","given":"John R.","non-dropping-particle":"","parse-names":false,"suffix":""}],"container-title":"Earth and Planetary Science Letters","id":"ITEM-2","issue":"4","issued":{"date-parts":[["1988","3","1"]]},"page":"397-408","publisher":"Elsevier","title":"Experimental determination of the solubility of carbon dioxide in molten basalt at low pressure","type":"article-journal","volume":"87"},"uris":["http://www.mendeley.com/documents/?uuid=45b4a1e6-9a47-3e31-93b3-98e28579e49c"]},{"id":"ITEM-3","itemData":{"author":[{"dropping-particle":"","family":"Blank","given":"J.G.","non-dropping-particle":"","parse-names":false,"suffix":""},{"dropping-particle":"","family":"Brooker","given":"Richard A.","non-dropping-particle":"","parse-names":false,"suffix":""}],"container-title":"Reviews in Mineralogy and Geochemistry","id":"ITEM-3","issue":"1","issued":{"date-parts":[["1994"]]},"page":"157-186","title":"Experimental studies of carbon dioxide in silicate melts: Solubility, speciation, and stable carbon isotope behaviour","type":"article-journal","volume":"30"},"uris":["http://www.mendeley.com/documents/?uuid=cc695245-6e66-440c-ab62-d4cc870c0456"]}],"mendeley":{"formattedCitation":"(Blank and Brooker, 1994; Dixon et al., 1995; Stolper and Holloway, 1988)","manualFormatting":"(e.g., Blank and Brooker, 1994; Dixon et al., 1995; Stolper and Holloway, 1988)","plainTextFormattedCitation":"(Blank and Brooker, 1994; Dixon et al., 1995; Stolper and Holloway, 1988)","previouslyFormattedCitation":"(Blank and Brooker, 1994; Dixon et al., 1995; Stolper and Holloway, 1988)"},"properties":{"noteIndex":0},"schema":"https://github.com/citation-style-language/schema/raw/master/csl-citation.json"}</w:instrText>
      </w:r>
      <w:r w:rsidR="000F0BD4">
        <w:rPr>
          <w:rFonts w:ascii="Times New Roman" w:hAnsi="Times New Roman"/>
        </w:rPr>
        <w:fldChar w:fldCharType="separate"/>
      </w:r>
      <w:r w:rsidR="000F0BD4" w:rsidRPr="000F0BD4">
        <w:rPr>
          <w:rFonts w:ascii="Times New Roman" w:hAnsi="Times New Roman"/>
          <w:noProof/>
        </w:rPr>
        <w:t>(</w:t>
      </w:r>
      <w:r w:rsidR="000F0BD4">
        <w:rPr>
          <w:rFonts w:ascii="Times New Roman" w:hAnsi="Times New Roman"/>
          <w:noProof/>
        </w:rPr>
        <w:t xml:space="preserve">e.g., </w:t>
      </w:r>
      <w:r w:rsidR="000F0BD4" w:rsidRPr="000F0BD4">
        <w:rPr>
          <w:rFonts w:ascii="Times New Roman" w:hAnsi="Times New Roman"/>
          <w:noProof/>
        </w:rPr>
        <w:t>Blank and Brooker, 1994; Dixon et al., 1995; Stolper and Holloway, 1988)</w:t>
      </w:r>
      <w:r w:rsidR="000F0BD4">
        <w:rPr>
          <w:rFonts w:ascii="Times New Roman" w:hAnsi="Times New Roman"/>
        </w:rPr>
        <w:fldChar w:fldCharType="end"/>
      </w:r>
      <w:r w:rsidRPr="00021ACC">
        <w:rPr>
          <w:rFonts w:ascii="Times New Roman" w:hAnsi="Times New Roman" w:cs="Times New Roman"/>
        </w:rPr>
        <w:t>:</w:t>
      </w:r>
    </w:p>
    <w:bookmarkStart w:id="5" w:name="_Ref63067498"/>
    <w:p w14:paraId="0B02A0CC" w14:textId="7BC17CC9" w:rsidR="00021ACC" w:rsidRPr="00021ACC" w:rsidRDefault="00063B50" w:rsidP="00E31290">
      <w:pPr>
        <w:pStyle w:val="equation"/>
        <w:rPr>
          <w:i/>
        </w:rPr>
      </w:pPr>
      <m:oMathPara>
        <m:oMath>
          <m:eqArr>
            <m:eqArrPr>
              <m:maxDist m:val="1"/>
              <m:ctrlPr>
                <w:rPr>
                  <w:rFonts w:ascii="Cambria Math" w:hAnsi="Cambria Math"/>
                  <w:i/>
                </w:rPr>
              </m:ctrlPr>
            </m:eqArrPr>
            <m:e>
              <m:r>
                <m:rPr>
                  <m:sty m:val="p"/>
                </m:rPr>
                <w:rPr>
                  <w:rFonts w:ascii="Cambria Math" w:hAnsi="Cambria Math"/>
                </w:rPr>
                <m:t>C</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S1</m:t>
                  </m:r>
                  <m:ctrlPr>
                    <w:rPr>
                      <w:rFonts w:ascii="Cambria Math" w:hAnsi="Cambria Math"/>
                    </w:rPr>
                  </m:ctrlPr>
                </m:e>
              </m:d>
            </m:e>
          </m:eqArr>
        </m:oMath>
      </m:oMathPara>
      <w:bookmarkEnd w:id="5"/>
    </w:p>
    <w:p w14:paraId="7EDF7B16" w14:textId="5B803123" w:rsidR="00021ACC" w:rsidRPr="00021ACC" w:rsidRDefault="00021ACC" w:rsidP="00021ACC">
      <w:pPr>
        <w:pStyle w:val="equation"/>
        <w:spacing w:line="240" w:lineRule="auto"/>
      </w:pPr>
      <w:r w:rsidRPr="00021ACC">
        <w:t>where O</w:t>
      </w:r>
      <w:r w:rsidRPr="00021ACC">
        <w:rPr>
          <w:vertAlign w:val="superscript"/>
        </w:rPr>
        <w:t>2-</w:t>
      </w:r>
      <w:r w:rsidRPr="00021ACC">
        <w:t xml:space="preserve"> refers to a reactive oxygen in the silicate melt. To begin with, if we assume that there is a single type of O</w:t>
      </w:r>
      <w:r w:rsidRPr="00021ACC">
        <w:rPr>
          <w:vertAlign w:val="superscript"/>
        </w:rPr>
        <w:t>2-</w:t>
      </w:r>
      <w:r w:rsidRPr="00021ACC">
        <w:t>, reaction (</w:t>
      </w:r>
      <w:r w:rsidR="003C231C">
        <w:t>S</w:t>
      </w:r>
      <w:r w:rsidR="00087E0D" w:rsidRPr="00087E0D">
        <w:rPr>
          <w:color w:val="000000" w:themeColor="text1"/>
        </w:rPr>
        <w:t>1</w:t>
      </w:r>
      <w:r w:rsidRPr="00021ACC">
        <w:t>) has an equilibrium constant (</w:t>
      </w:r>
      <w:r w:rsidRPr="00021ACC">
        <w:rPr>
          <w:i/>
          <w:iCs/>
        </w:rPr>
        <w:t>K</w:t>
      </w:r>
      <w:r w:rsidRPr="00021ACC">
        <w:t>) given by:</w:t>
      </w:r>
    </w:p>
    <w:p w14:paraId="5E81F80C" w14:textId="47512986" w:rsidR="00021ACC" w:rsidRPr="00021ACC" w:rsidRDefault="00063B50" w:rsidP="00E31290">
      <w:pPr>
        <w:pStyle w:val="equation"/>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m:rPr>
                      <m:sty m:val="p"/>
                    </m:rPr>
                    <w:rPr>
                      <w:rFonts w:ascii="Cambria Math" w:hAnsi="Cambria Math"/>
                    </w:rPr>
                    <m:t xml:space="preserve"> </m:t>
                  </m:r>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den>
              </m:f>
              <m: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r>
                    <w:rPr>
                      <w:rFonts w:ascii="Cambria Math" w:hAnsi="Cambria Math"/>
                    </w:rPr>
                    <m:t xml:space="preserve"> </m:t>
                  </m:r>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m:rPr>
                      <m:sty m:val="p"/>
                    </m:rPr>
                    <w:rPr>
                      <w:rFonts w:ascii="Cambria Math" w:hAnsi="Cambria Math"/>
                    </w:rPr>
                    <m:t xml:space="preserve"> </m:t>
                  </m:r>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den>
              </m:f>
              <m:r>
                <w:rPr>
                  <w:rFonts w:ascii="Cambria Math" w:hAnsi="Cambria Math"/>
                </w:rPr>
                <m:t>, #</m:t>
              </m:r>
              <m:d>
                <m:dPr>
                  <m:ctrlPr>
                    <w:rPr>
                      <w:rFonts w:ascii="Cambria Math" w:hAnsi="Cambria Math"/>
                      <w:i/>
                    </w:rPr>
                  </m:ctrlPr>
                </m:dPr>
                <m:e>
                  <m:r>
                    <m:rPr>
                      <m:sty m:val="p"/>
                    </m:rPr>
                    <w:rPr>
                      <w:rFonts w:ascii="Cambria Math" w:hAnsi="Cambria Math"/>
                    </w:rPr>
                    <m:t>S2</m:t>
                  </m:r>
                  <m:ctrlPr>
                    <w:rPr>
                      <w:rFonts w:ascii="Cambria Math" w:hAnsi="Cambria Math"/>
                    </w:rPr>
                  </m:ctrlPr>
                </m:e>
              </m:d>
            </m:e>
          </m:eqArr>
        </m:oMath>
      </m:oMathPara>
    </w:p>
    <w:p w14:paraId="3B15C458" w14:textId="4D8DEAE7" w:rsidR="00021ACC" w:rsidRPr="00021ACC" w:rsidRDefault="002A3F34" w:rsidP="00021ACC">
      <w:pPr>
        <w:pStyle w:val="NoSpacing"/>
        <w:jc w:val="both"/>
        <w:rPr>
          <w:iCs/>
        </w:rPr>
      </w:pPr>
      <w:r>
        <w:t>w</w:t>
      </w:r>
      <w:r w:rsidRPr="00021ACC">
        <w:t xml:space="preserve">here </w:t>
      </w:r>
      <w:r w:rsidR="00FD2F77" w:rsidRPr="00FD2F77">
        <w:rPr>
          <w:i/>
          <w:iCs/>
        </w:rPr>
        <w:t>K</w:t>
      </w:r>
      <w:r w:rsidR="00FD2F77" w:rsidRPr="00FD2F77">
        <w:rPr>
          <w:vertAlign w:val="subscript"/>
        </w:rPr>
        <w:t>CO32-</w:t>
      </w:r>
      <w:r w:rsidR="00021ACC" w:rsidRPr="00021ACC">
        <w:t xml:space="preserve"> depends only on </w:t>
      </w:r>
      <w:r w:rsidR="00021ACC" w:rsidRPr="00021ACC">
        <w:rPr>
          <w:i/>
          <w:iCs/>
        </w:rPr>
        <w:t>P</w:t>
      </w:r>
      <w:r w:rsidR="00021ACC" w:rsidRPr="00021ACC">
        <w:t xml:space="preserve"> and </w:t>
      </w:r>
      <w:r w:rsidR="00021ACC" w:rsidRPr="00021ACC">
        <w:rPr>
          <w:i/>
          <w:iCs/>
        </w:rPr>
        <w:t>T</w:t>
      </w:r>
      <w:r w:rsidR="00021ACC" w:rsidRPr="00021ACC">
        <w:t xml:space="preserve">; </w:t>
      </w:r>
      <w:proofErr w:type="spellStart"/>
      <w:r w:rsidR="00FD2F77" w:rsidRPr="00FD2F77">
        <w:rPr>
          <w:i/>
          <w:iCs/>
        </w:rPr>
        <w:t>a</w:t>
      </w:r>
      <w:r w:rsidR="00FD2F77" w:rsidRPr="00FD2F77">
        <w:rPr>
          <w:i/>
          <w:iCs/>
          <w:vertAlign w:val="superscript"/>
        </w:rPr>
        <w:t>m</w:t>
      </w:r>
      <w:r w:rsidR="00FD2F77" w:rsidRPr="00FD2F77">
        <w:rPr>
          <w:i/>
          <w:iCs/>
          <w:vertAlign w:val="subscript"/>
        </w:rPr>
        <w:t>i</w:t>
      </w:r>
      <w:proofErr w:type="spellEnd"/>
      <w:r w:rsidR="00021ACC" w:rsidRPr="00021ACC">
        <w:rPr>
          <w:iCs/>
        </w:rPr>
        <w:t xml:space="preserve"> is activity of the </w:t>
      </w:r>
      <w:proofErr w:type="spellStart"/>
      <w:r w:rsidR="00021ACC" w:rsidRPr="00021ACC">
        <w:rPr>
          <w:i/>
        </w:rPr>
        <w:t>i</w:t>
      </w:r>
      <w:r w:rsidR="00021ACC" w:rsidRPr="00021ACC">
        <w:rPr>
          <w:iCs/>
          <w:vertAlign w:val="superscript"/>
        </w:rPr>
        <w:t>th</w:t>
      </w:r>
      <w:proofErr w:type="spellEnd"/>
      <w:r w:rsidR="00021ACC" w:rsidRPr="00021ACC">
        <w:rPr>
          <w:iCs/>
        </w:rPr>
        <w:t xml:space="preserve"> component in the silicate melt (denoted with superscript </w:t>
      </w:r>
      <w:r w:rsidR="00021ACC" w:rsidRPr="00021ACC">
        <w:rPr>
          <w:i/>
        </w:rPr>
        <w:t>m</w:t>
      </w:r>
      <w:r w:rsidR="00021ACC" w:rsidRPr="00021ACC">
        <w:rPr>
          <w:iCs/>
        </w:rPr>
        <w:t xml:space="preserve">), which depends on </w:t>
      </w:r>
      <w:r w:rsidR="00021ACC" w:rsidRPr="00021ACC">
        <w:rPr>
          <w:i/>
        </w:rPr>
        <w:t>P</w:t>
      </w:r>
      <w:r w:rsidR="00021ACC" w:rsidRPr="00021ACC">
        <w:rPr>
          <w:iCs/>
        </w:rPr>
        <w:t xml:space="preserve">, </w:t>
      </w:r>
      <w:r w:rsidR="00021ACC" w:rsidRPr="00021ACC">
        <w:rPr>
          <w:i/>
        </w:rPr>
        <w:t>T</w:t>
      </w:r>
      <w:r w:rsidR="00021ACC" w:rsidRPr="00021ACC">
        <w:rPr>
          <w:iCs/>
        </w:rPr>
        <w:t xml:space="preserve">, and </w:t>
      </w:r>
      <w:proofErr w:type="spellStart"/>
      <w:r w:rsidR="00FD2F77">
        <w:rPr>
          <w:i/>
          <w:iCs/>
        </w:rPr>
        <w:t>x</w:t>
      </w:r>
      <w:r w:rsidR="00FD2F77" w:rsidRPr="00FD2F77">
        <w:rPr>
          <w:i/>
          <w:iCs/>
          <w:vertAlign w:val="superscript"/>
        </w:rPr>
        <w:t>m</w:t>
      </w:r>
      <w:r w:rsidR="00FD2F77" w:rsidRPr="00FD2F77">
        <w:rPr>
          <w:i/>
          <w:iCs/>
          <w:vertAlign w:val="subscript"/>
        </w:rPr>
        <w:t>i</w:t>
      </w:r>
      <w:proofErr w:type="spellEnd"/>
      <w:r w:rsidR="00021ACC" w:rsidRPr="00021ACC">
        <w:rPr>
          <w:iCs/>
        </w:rPr>
        <w:t xml:space="preserve">; </w:t>
      </w:r>
      <w:proofErr w:type="spellStart"/>
      <w:r w:rsidR="00FD2F77">
        <w:rPr>
          <w:i/>
          <w:iCs/>
        </w:rPr>
        <w:t>x</w:t>
      </w:r>
      <w:r w:rsidR="00FD2F77" w:rsidRPr="00FD2F77">
        <w:rPr>
          <w:i/>
          <w:iCs/>
          <w:vertAlign w:val="superscript"/>
        </w:rPr>
        <w:t>m</w:t>
      </w:r>
      <w:r w:rsidR="00FD2F77" w:rsidRPr="00FD2F77">
        <w:rPr>
          <w:i/>
          <w:iCs/>
          <w:vertAlign w:val="subscript"/>
        </w:rPr>
        <w:t>i</w:t>
      </w:r>
      <w:proofErr w:type="spellEnd"/>
      <w:r w:rsidR="00021ACC" w:rsidRPr="00021ACC">
        <w:rPr>
          <w:iCs/>
        </w:rPr>
        <w:t xml:space="preserve"> is the mole fraction of the </w:t>
      </w:r>
      <w:proofErr w:type="spellStart"/>
      <w:r w:rsidR="00021ACC" w:rsidRPr="00021ACC">
        <w:rPr>
          <w:i/>
        </w:rPr>
        <w:t>i</w:t>
      </w:r>
      <w:r w:rsidR="00021ACC" w:rsidRPr="00021ACC">
        <w:rPr>
          <w:iCs/>
          <w:vertAlign w:val="superscript"/>
        </w:rPr>
        <w:t>th</w:t>
      </w:r>
      <w:proofErr w:type="spellEnd"/>
      <w:r w:rsidR="00021ACC" w:rsidRPr="00021ACC">
        <w:rPr>
          <w:iCs/>
        </w:rPr>
        <w:t xml:space="preserve"> component in the silicate melt; and </w:t>
      </w:r>
      <w:proofErr w:type="spellStart"/>
      <w:r w:rsidR="00FD2F77" w:rsidRPr="00B67966">
        <w:rPr>
          <w:rFonts w:ascii="Times New Roman" w:hAnsi="Times New Roman"/>
          <w:i/>
          <w:iCs/>
          <w:color w:val="000000" w:themeColor="text1"/>
        </w:rPr>
        <w:t>γ</w:t>
      </w:r>
      <w:r w:rsidR="00FD2F77" w:rsidRPr="00FD2F77">
        <w:rPr>
          <w:rFonts w:ascii="Times New Roman" w:hAnsi="Times New Roman"/>
          <w:i/>
          <w:iCs/>
          <w:color w:val="000000" w:themeColor="text1"/>
          <w:vertAlign w:val="superscript"/>
        </w:rPr>
        <w:t>m</w:t>
      </w:r>
      <w:r w:rsidR="00FD2F77" w:rsidRPr="00FD2F77">
        <w:rPr>
          <w:rFonts w:ascii="Times New Roman" w:hAnsi="Times New Roman"/>
          <w:i/>
          <w:iCs/>
          <w:color w:val="000000" w:themeColor="text1"/>
          <w:vertAlign w:val="subscript"/>
        </w:rPr>
        <w:t>i</w:t>
      </w:r>
      <w:proofErr w:type="spellEnd"/>
      <w:r w:rsidR="00021ACC" w:rsidRPr="00021ACC">
        <w:t xml:space="preserve"> is the activity coefficient </w:t>
      </w:r>
      <w:r w:rsidR="00021ACC" w:rsidRPr="00021ACC">
        <w:rPr>
          <w:iCs/>
        </w:rPr>
        <w:t xml:space="preserve">of </w:t>
      </w:r>
      <w:proofErr w:type="spellStart"/>
      <w:r w:rsidR="00021ACC" w:rsidRPr="00021ACC">
        <w:rPr>
          <w:iCs/>
        </w:rPr>
        <w:t>the</w:t>
      </w:r>
      <w:proofErr w:type="spellEnd"/>
      <w:r w:rsidR="00021ACC" w:rsidRPr="00021ACC">
        <w:rPr>
          <w:iCs/>
        </w:rPr>
        <w:t xml:space="preserve"> </w:t>
      </w:r>
      <w:r w:rsidR="00021ACC" w:rsidRPr="00021ACC">
        <w:rPr>
          <w:i/>
        </w:rPr>
        <w:t>i</w:t>
      </w:r>
      <w:r w:rsidR="00021ACC" w:rsidRPr="00021ACC">
        <w:rPr>
          <w:iCs/>
          <w:vertAlign w:val="superscript"/>
        </w:rPr>
        <w:t>th</w:t>
      </w:r>
      <w:r w:rsidR="00021ACC" w:rsidRPr="00021ACC">
        <w:rPr>
          <w:iCs/>
        </w:rPr>
        <w:t xml:space="preserve"> component in the silicate melt, which also depends on </w:t>
      </w:r>
      <w:r w:rsidR="00021ACC" w:rsidRPr="00021ACC">
        <w:rPr>
          <w:i/>
        </w:rPr>
        <w:t>P</w:t>
      </w:r>
      <w:r w:rsidR="00021ACC" w:rsidRPr="00021ACC">
        <w:rPr>
          <w:iCs/>
        </w:rPr>
        <w:t xml:space="preserve">, </w:t>
      </w:r>
      <w:r w:rsidR="00021ACC" w:rsidRPr="00021ACC">
        <w:rPr>
          <w:i/>
        </w:rPr>
        <w:t>T</w:t>
      </w:r>
      <w:r w:rsidR="00021ACC" w:rsidRPr="00021ACC">
        <w:rPr>
          <w:iCs/>
        </w:rPr>
        <w:t xml:space="preserve">, and </w:t>
      </w:r>
      <w:proofErr w:type="spellStart"/>
      <w:r w:rsidR="00FD2F77">
        <w:rPr>
          <w:i/>
          <w:iCs/>
        </w:rPr>
        <w:t>x</w:t>
      </w:r>
      <w:r w:rsidR="00FD2F77" w:rsidRPr="00FD2F77">
        <w:rPr>
          <w:i/>
          <w:iCs/>
          <w:vertAlign w:val="superscript"/>
        </w:rPr>
        <w:t>m</w:t>
      </w:r>
      <w:r w:rsidR="00FD2F77" w:rsidRPr="00FD2F77">
        <w:rPr>
          <w:i/>
          <w:iCs/>
          <w:vertAlign w:val="subscript"/>
        </w:rPr>
        <w:t>i</w:t>
      </w:r>
      <w:proofErr w:type="spellEnd"/>
      <w:r w:rsidR="00021ACC" w:rsidRPr="00021ACC">
        <w:rPr>
          <w:iCs/>
        </w:rPr>
        <w:t>. These definitions (</w:t>
      </w:r>
      <w:r w:rsidR="00FD2F77">
        <w:rPr>
          <w:i/>
        </w:rPr>
        <w:t>K</w:t>
      </w:r>
      <w:r w:rsidR="00FD2F77" w:rsidRPr="00FD2F77">
        <w:rPr>
          <w:i/>
          <w:vertAlign w:val="subscript"/>
        </w:rPr>
        <w:t>i</w:t>
      </w:r>
      <w:r w:rsidR="00021ACC" w:rsidRPr="00021ACC">
        <w:rPr>
          <w:iCs/>
        </w:rPr>
        <w:t xml:space="preserve">, </w:t>
      </w:r>
      <w:proofErr w:type="spellStart"/>
      <w:r w:rsidR="00FD2F77">
        <w:rPr>
          <w:i/>
          <w:iCs/>
        </w:rPr>
        <w:t>a</w:t>
      </w:r>
      <w:r w:rsidR="00FD2F77" w:rsidRPr="00FD2F77">
        <w:rPr>
          <w:i/>
          <w:iCs/>
          <w:vertAlign w:val="superscript"/>
        </w:rPr>
        <w:t>m</w:t>
      </w:r>
      <w:r w:rsidR="00FD2F77" w:rsidRPr="00FD2F77">
        <w:rPr>
          <w:i/>
          <w:iCs/>
          <w:vertAlign w:val="subscript"/>
        </w:rPr>
        <w:t>i</w:t>
      </w:r>
      <w:proofErr w:type="spellEnd"/>
      <w:r w:rsidR="00021ACC" w:rsidRPr="00021ACC">
        <w:rPr>
          <w:iCs/>
        </w:rPr>
        <w:t xml:space="preserve">, </w:t>
      </w:r>
      <w:proofErr w:type="spellStart"/>
      <w:r w:rsidR="00FD2F77">
        <w:rPr>
          <w:i/>
          <w:iCs/>
        </w:rPr>
        <w:t>x</w:t>
      </w:r>
      <w:r w:rsidR="00FD2F77" w:rsidRPr="00FD2F77">
        <w:rPr>
          <w:i/>
          <w:iCs/>
          <w:vertAlign w:val="superscript"/>
        </w:rPr>
        <w:t>m</w:t>
      </w:r>
      <w:r w:rsidR="00FD2F77" w:rsidRPr="00FD2F77">
        <w:rPr>
          <w:i/>
          <w:iCs/>
          <w:vertAlign w:val="subscript"/>
        </w:rPr>
        <w:t>i</w:t>
      </w:r>
      <w:proofErr w:type="spellEnd"/>
      <w:r w:rsidR="00021ACC" w:rsidRPr="00021ACC">
        <w:rPr>
          <w:iCs/>
        </w:rPr>
        <w:t xml:space="preserve">, and </w:t>
      </w:r>
      <w:proofErr w:type="spellStart"/>
      <w:r w:rsidR="00FD2F77" w:rsidRPr="00B67966">
        <w:rPr>
          <w:rFonts w:ascii="Times New Roman" w:hAnsi="Times New Roman"/>
          <w:i/>
          <w:iCs/>
          <w:color w:val="000000" w:themeColor="text1"/>
        </w:rPr>
        <w:t>γ</w:t>
      </w:r>
      <w:r w:rsidR="00FD2F77" w:rsidRPr="00B016E9">
        <w:rPr>
          <w:rFonts w:ascii="Times New Roman" w:hAnsi="Times New Roman"/>
          <w:i/>
          <w:iCs/>
          <w:color w:val="000000" w:themeColor="text1"/>
          <w:vertAlign w:val="superscript"/>
        </w:rPr>
        <w:t>m</w:t>
      </w:r>
      <w:r w:rsidR="00FD2F77" w:rsidRPr="00B016E9">
        <w:rPr>
          <w:rFonts w:ascii="Times New Roman" w:hAnsi="Times New Roman"/>
          <w:i/>
          <w:iCs/>
          <w:color w:val="000000" w:themeColor="text1"/>
          <w:vertAlign w:val="subscript"/>
        </w:rPr>
        <w:t>i</w:t>
      </w:r>
      <w:proofErr w:type="spellEnd"/>
      <w:r w:rsidR="00021ACC" w:rsidRPr="00021ACC">
        <w:rPr>
          <w:iCs/>
        </w:rPr>
        <w:t xml:space="preserve">) are also valid for the equilibria developed below involving other volatile components. </w:t>
      </w:r>
    </w:p>
    <w:p w14:paraId="4D1A3198" w14:textId="16F04C6A" w:rsidR="00021ACC" w:rsidRPr="00021ACC" w:rsidRDefault="00021ACC" w:rsidP="00021ACC">
      <w:pPr>
        <w:pStyle w:val="NoSpacing"/>
        <w:ind w:firstLine="720"/>
        <w:jc w:val="both"/>
      </w:pPr>
      <w:r w:rsidRPr="00021ACC">
        <w:t>If we make the approximation that the carbonate ion behaves ideally in the silicate melt, then</w:t>
      </w:r>
      <w:r w:rsidR="00FD2F77">
        <w:t xml:space="preserve"> </w:t>
      </w:r>
      <w:r w:rsidR="00FD2F77" w:rsidRPr="00B67966">
        <w:rPr>
          <w:rFonts w:ascii="Times New Roman" w:hAnsi="Times New Roman"/>
          <w:i/>
          <w:iCs/>
          <w:color w:val="000000" w:themeColor="text1"/>
        </w:rPr>
        <w:t>γ</w:t>
      </w:r>
      <w:r w:rsidR="00FD2F77" w:rsidRPr="00FD2F77">
        <w:rPr>
          <w:rFonts w:ascii="Times New Roman" w:hAnsi="Times New Roman"/>
          <w:i/>
          <w:iCs/>
          <w:color w:val="000000" w:themeColor="text1"/>
          <w:vertAlign w:val="superscript"/>
        </w:rPr>
        <w:t>m</w:t>
      </w:r>
      <w:r w:rsidR="00FD2F77" w:rsidRPr="00FD2F77">
        <w:rPr>
          <w:rFonts w:ascii="Times New Roman" w:hAnsi="Times New Roman"/>
          <w:color w:val="000000" w:themeColor="text1"/>
          <w:vertAlign w:val="subscript"/>
        </w:rPr>
        <w:t>CO32-</w:t>
      </w:r>
      <w:r w:rsidR="00FD2F77">
        <w:t>=1</w:t>
      </w:r>
      <w:r w:rsidRPr="00021ACC">
        <w:t xml:space="preserve"> and </w:t>
      </w:r>
      <w:r w:rsidR="00FD2F77" w:rsidRPr="00FD2F77">
        <w:rPr>
          <w:rFonts w:ascii="Times New Roman" w:hAnsi="Times New Roman"/>
          <w:i/>
          <w:iCs/>
          <w:color w:val="000000" w:themeColor="text1"/>
        </w:rPr>
        <w:t>a</w:t>
      </w:r>
      <w:r w:rsidR="00FD2F77" w:rsidRPr="00FD2F77">
        <w:rPr>
          <w:rFonts w:ascii="Times New Roman" w:hAnsi="Times New Roman"/>
          <w:i/>
          <w:iCs/>
          <w:color w:val="000000" w:themeColor="text1"/>
          <w:vertAlign w:val="superscript"/>
        </w:rPr>
        <w:t>m</w:t>
      </w:r>
      <w:r w:rsidR="00FD2F77" w:rsidRPr="00FD2F77">
        <w:rPr>
          <w:rFonts w:ascii="Times New Roman" w:hAnsi="Times New Roman"/>
          <w:color w:val="000000" w:themeColor="text1"/>
          <w:vertAlign w:val="subscript"/>
        </w:rPr>
        <w:t>CO32-</w:t>
      </w:r>
      <w:r w:rsidR="00FD2F77">
        <w:rPr>
          <w:rFonts w:ascii="Times New Roman" w:hAnsi="Times New Roman"/>
          <w:color w:val="000000" w:themeColor="text1"/>
        </w:rPr>
        <w:t xml:space="preserve"> = </w:t>
      </w:r>
      <w:r w:rsidR="00FD2F77" w:rsidRPr="00FD2F77">
        <w:rPr>
          <w:rFonts w:ascii="Times New Roman" w:hAnsi="Times New Roman"/>
          <w:i/>
          <w:iCs/>
          <w:color w:val="000000" w:themeColor="text1"/>
        </w:rPr>
        <w:t>x</w:t>
      </w:r>
      <w:r w:rsidR="00FD2F77" w:rsidRPr="00FD2F77">
        <w:rPr>
          <w:rFonts w:ascii="Times New Roman" w:hAnsi="Times New Roman"/>
          <w:i/>
          <w:iCs/>
          <w:color w:val="000000" w:themeColor="text1"/>
          <w:vertAlign w:val="superscript"/>
        </w:rPr>
        <w:t>m</w:t>
      </w:r>
      <w:r w:rsidR="00FD2F77" w:rsidRPr="00FD2F77">
        <w:rPr>
          <w:rFonts w:ascii="Times New Roman" w:hAnsi="Times New Roman"/>
          <w:color w:val="000000" w:themeColor="text1"/>
          <w:vertAlign w:val="subscript"/>
        </w:rPr>
        <w:t>CO32-</w:t>
      </w:r>
      <w:r w:rsidRPr="00021ACC">
        <w:t>. Additionally, we can assume the concentration of</w:t>
      </w:r>
      <w:r w:rsidR="00FD2F77">
        <w:t xml:space="preserve"> CO</w:t>
      </w:r>
      <w:r w:rsidR="00FD2F77" w:rsidRPr="00FD2F77">
        <w:rPr>
          <w:vertAlign w:val="subscript"/>
        </w:rPr>
        <w:t>3</w:t>
      </w:r>
      <w:r w:rsidR="00FD2F77" w:rsidRPr="00FD2F77">
        <w:rPr>
          <w:vertAlign w:val="superscript"/>
        </w:rPr>
        <w:t>2-</w:t>
      </w:r>
      <w:r w:rsidRPr="00021ACC">
        <w:t xml:space="preserve"> in the silicate melt is sufficiently small that a negligible quantity of O</w:t>
      </w:r>
      <w:r w:rsidRPr="00021ACC">
        <w:rPr>
          <w:vertAlign w:val="superscript"/>
        </w:rPr>
        <w:t xml:space="preserve">2- </w:t>
      </w:r>
      <w:r w:rsidRPr="00021ACC">
        <w:t xml:space="preserve">in the silicate melt is consumed by its formation. This </w:t>
      </w:r>
      <w:r w:rsidRPr="00021ACC">
        <w:rPr>
          <w:iCs/>
        </w:rPr>
        <w:t xml:space="preserve">is typically the case in natural silicate melts due to the low solubility of </w:t>
      </w:r>
      <w:r w:rsidR="00FD2F77">
        <w:t>CO</w:t>
      </w:r>
      <w:r w:rsidR="00FD2F77" w:rsidRPr="00B016E9">
        <w:rPr>
          <w:vertAlign w:val="subscript"/>
        </w:rPr>
        <w:t>3</w:t>
      </w:r>
      <w:r w:rsidR="00FD2F77" w:rsidRPr="00B016E9">
        <w:rPr>
          <w:vertAlign w:val="superscript"/>
        </w:rPr>
        <w:t>2-</w:t>
      </w:r>
      <w:r w:rsidRPr="00021ACC">
        <w:t xml:space="preserve"> </w:t>
      </w:r>
      <w:r w:rsidR="00A70704">
        <w:rPr>
          <w:rFonts w:ascii="Times New Roman" w:hAnsi="Times New Roman"/>
        </w:rPr>
        <w:fldChar w:fldCharType="begin" w:fldLock="1"/>
      </w:r>
      <w:r w:rsidR="000F0BD4">
        <w:rPr>
          <w:rFonts w:ascii="Times New Roman" w:hAnsi="Times New Roman"/>
        </w:rPr>
        <w:instrText>ADDIN CSL_CITATION {"citationItems":[{"id":"ITEM-1","itemData":{"DOI":"10.1016/J.CHEMGEO.2010.07.014","ISSN":"0009-2541","abstract":"The solubility of H2O- and CO2-bearing fluids in tholeiitic basalts has been investigated experimentally at temperature of 1250°C and pressures of 50, 100, 200, 300, 400 and 500MPa. The concentrations of dissolved H2O and CO2 have been determined using FTIR spectroscopy with an accurate calibration of the absorption coefficients for hydrogen- and carbon-bearing species using synthesized standards of the same tholeiitic composition. The absorption coefficients are 0.65±0.08 and 0.69±0.08L/(molcm) for molecular H2O and OH groups by Near-Infrared (NIR), respectively, and 68±10L/(molcm) for bulk H2O by Mid-Infrared (MIR). The carbonate groups determined by MIR have an absorption coefficient of 317±23L/(molcm) for the band at 1430cm−1.The solubility of H2O in the melt in equilibrium with pure H2O fluid increases from about 2.3±0.12wt.% at 50MPa to about 8.8±0.16wt.% at 500MPa, whereas the concentration of CO2 increases from about 175±15 to 3318±276ppm in the melts which were equilibrated with the most CO2-rich fluids (with mole fraction of CO2 in the fluid, XflCO2, from 0.70 to 0.95). In melts coexisting with H2O- and CO2-bearing fluids, the concentrations of dissolved H2O and CO2 in basaltic melt show a non-linear dependence on both total pressure and mole fraction of volatiles in the equilibrium fluid, which is in agreement with previous studies. A comparison of new experimental data with existing numerical solubility models for mixed H2O–CO2 fluids shows that the models do not adequately predict the solubility of volatiles in basaltic liquids at pressures above 200MPa, in particular for CO2, implying that the models need to be recalibrated. The experimental dataset presented in this study enables a quantitative interpretation of volatile concentrations in glass inclusions to evaluate the magma storage conditions and degassing paths of natural island arc basaltic systems. The experimental database covers the entire range of volatile compositions reported in the literature for natural melt inclusions in olivine from low- to mid-K basalts indicating that most melt inclusions were trapped or equilibrated at intermediate to shallow levels in magmatic systems (&lt;12–15km).","author":[{"dropping-particle":"","family":"Shishkina","given":"Tatiana A.","non-dropping-particle":"","parse-names":false,"suffix":""},{"dropping-particle":"","family":"Botcharnikov","given":"Roman E.","non-dropping-particle":"","parse-names":false,"suffix":""},{"dropping-particle":"","family":"Holtz","given":"F.","non-dropping-particle":"","parse-names":false,"suffix":""},{"dropping-particle":"","family":"Almeev","given":"R.R.","non-dropping-particle":"","parse-names":false,"suffix":""},{"dropping-particle":"","family":"Portnyagin","given":"M.V.","non-dropping-particle":"","parse-names":false,"suffix":""}],"container-title":"Chemical Geology","id":"ITEM-1","issue":"1-2","issued":{"date-parts":[["2010","10","1"]]},"page":"115-125","publisher":"Elsevier","title":"Solubility of H2O- and CO2-bearing fluids in tholeiitic basalts at pressures up to 500 MPa","type":"article-journal","volume":"277"},"uris":["http://www.mendeley.com/documents/?uuid=4ffdc128-19f4-35fb-94eb-e078883ee158"]},{"id":"ITEM-2","itemData":{"DOI":"10.1016/0012-821X(88)90004-0","ISSN":"0012-821X","abstract":"We report the first measurements of CO2 solubility in molten basalt at pressures comparable to those at which submarine basalts erupt. A basalt from the Juan de Fuca ridge was equilibrated with CO2-rich vapor at 1200°C, 100-1500 bar for up to four hours. After quenching, the glass was analyzed for dissolved carbonate ions by infrared spectroscopy. No forms of dissolved CO2 other than carbonate were detected. CO2 solubility is roughly a linear function of pressure at these low pressures. The experimentally determined solubility differs from previous estimates based on CO2 concentrations of submarine glasses, on CO2 solubilities in basaltic liquids at significantly higher pressures, and on CO2 concentrations of glasses equilibrated with H2OCO2 vapor. Our results are compatible with those obtained previously at higher pressures on a molten Kilauea tholeiite only if there is a significant positive dependence of carbonate solubility on temperature. CO2 contents of mid-ocean ridge glasses measured by infrared spectroscopy are generally higher than would be expected based on solubilities at the hydrostatic pressures for the water depths from which the glasses were recovered, but the lowest dissolved CO2 contents agree with the experimentally determined solubilities. We propose that submarine glasses with low CO2 contents were quenched from magmas that were able to degas because they rose slowly from depth. The common occurrence of glasses with dissolved CO2 contents in excess of the experimentally determined solubility suggests they were quenched from magmas that ascended too rapidly to degas fully. In conjunction with our solubility data, the highest CO2 contents allow minimum estimates of depths to magma chambers. Depths of ≥ 2.3 km beneath the ridge are indicated for the East Pacific Rise at 21°N, in agreement with geophysical constraints. © 1988.","author":[{"dropping-particle":"","family":"Stolper","given":"Edward M.","non-dropping-particle":"","parse-names":false,"suffix":""},{"dropping-particle":"","family":"Holloway","given":"John R.","non-dropping-particle":"","parse-names":false,"suffix":""}],"container-title":"Earth and Planetary Science Letters","id":"ITEM-2","issue":"4","issued":{"date-parts":[["1988","3","1"]]},"page":"397-408","publisher":"Elsevier","title":"Experimental determination of the solubility of carbon dioxide in molten basalt at low pressure","type":"article-journal","volume":"87"},"uris":["http://www.mendeley.com/documents/?uuid=45b4a1e6-9a47-3e31-93b3-98e28579e49c"]},{"id":"ITEM-3","itemData":{"DOI":"10.1016/0016-7037(91)90130-W","ISSN":"00167037","abstract":"The solubility of carbon dioxide in tholeiitic melt (1921 Kilauea basalt ) was determined under experimental conditions of 1 kbar, 1200°C; 10 and 15 kbar and 1300-1600°C. We examined the solubility at pressure and temperature conditions intermediate to those reported in previous studies, and, in particular, we addressed the effect of temperature on carbon dioxide solubility. Two different carbon sources were used in the experiments, silver oxalate and a mixture of carbonate minerals, to examine the effects of dissolved silver on carbon dioxide solubility. Three analytical methods were employed to measure accurately and precisely the dissolved carbon in the run products: ( 1 ) Fourier transform micro-infrared spectroscopy, ( 2 ) secondary ion mass spectrometry, and ( 3 ) bulk carbon analysis with a Perkin Elmer Elemental Analyzer. The first two methods are micro-beam techniques which allowed for assessment of sample homogeneity. Consistent with previous solubility studies, infrared analyses showed that carbon is dissolved in basaltic melt in the form of carbonate. However, our experimental results differ from the previous solubility study in that we demonstrate carbon dioxide solubility is temperature independent. At 1 kbar and 1200°C, carbon dioxide solubility is 543 ppm; at 10 kbar and 1300, 1400, and 1500°C, carbon dioxide solubility is approximately 0.77 ± .07 wt%; and at 15 kbar and 1400, 1450, 1500, 1550, and 1600°C, the solubility is approximately 1.21 ± .13 wt%. Dissolved silver does not appear to affect the solubility. These results invalidate previous models for carbon dioxide solubility. We have developed a new model which describes the pressure and temperature dependence of carbon dioxide solubility for tholeiitic basalts. Regression of the solubility data for the reaction CO2vapor + O2-melt = CO32-melt gives a heat of solution (ΔH0 at 1 kbar and 1473 K) of 5.20 ± 4.30 kJ/mol and the change in partial molar volume ΔV0[CO32-melt- O2-melt of 23.14 ± 1.03 cm3/mol. Application of this model suggests that fluid-saturated partial melting of the MORB source region cannot be supported. © 1991.","author":[{"dropping-particle":"","family":"Pan","given":"Vivian","non-dropping-particle":"","parse-names":false,"suffix":""},{"dropping-particle":"","family":"Holloway","given":"John R.","non-dropping-particle":"","parse-names":false,"suffix":""},{"dropping-particle":"","family":"Hervig","given":"Richard L.","non-dropping-particle":"","parse-names":false,"suffix":""}],"container-title":"Geochimica et Cosmochimica Acta","id":"ITEM-3","issue":"6","issued":{"date-parts":[["1991","6","1"]]},"page":"1587-1595","publisher":"Pergamon","title":"The pressure and temperature dependence of carbon dioxide solubility in tholeiitic basalt melts","type":"article-journal","volume":"55"},"uris":["http://www.mendeley.com/documents/?uuid=97dfbdd1-a8a8-3c08-88d1-f6f0f32a1c34"]},{"id":"ITEM-4","itemData":{"abstract":"Degassing processes in basaltic magmas rich in both water and carbon dioxide can be modeled using the solubilities of the endmember systems and the assumption of Henry's law. Suites of vapor-saturated basaltic melts having a range of initial C02/ H20 ratios and erupted over a narrow depth interval will define negative!; sloped arrays on an H20 vs C02 plot. It is important that all of the major volatile species be considered simultaneous!; when interpreting trends in dissolved volatile species concentrations in magmas. Based on measured concentrations of water and carbon dioxide in basaltic glasses, the composition of the vapor phase at 120ff'C that could coexist with a basaltic melt and the pressure at which it would be vapor saturated can be calculated. The range in vapor compositions in equilibrium with submarine basalts rejhcts the range in water contents in the melts characteristic of each environment. The ranges in the molar proportion of CO2 in vapor phases (Xco) calculated to be in equilibrium with submarine tholeiitic glasses are 0 · 93- 1 ·00 for mid-ocean ridge basalts (MORE), 0 ·6o-o · 99 for glasses from Kilauea [representative of ocean island basalts ( OIB) J and o-o · 94 for glasses from back-arc basins (BABE). MORE glasses from spreading centers ranging from slow (e.g. the Mid-Atlantic Ridge) to fast (e.g. East Pacific Rise, 9- 13° .N) are common!; supersaturated with respect to COrrich vapor, resulting from magma ascent rates so rapid that magmas erupt on the seafloor without having been .ful!J degassed by bubble nucleation and growth during ascent. In contrast to the MORE glasses, volatile contents in submarine glasses from Kilauea are consistent with having been in equilibrium with a vapor phase containing 60- 100 mol% C02 at the pressure of eruption, riflecting differences in average magma transport rates during eruptions at mid-ocean ridges and hotspot volcanoes. *Corresponding author. Present address: Rosenstiel School of Marine and Atmospheric Science, Division of Marine Geology and Geophysics, University of Miami, Miami, FL 33149-1098, USA Degassing during decompression of tholeiitic basaltic magma is characterized by strong partitioning of C02 into the vapor phase. During open system degassing, C02 is rapid!; removed from the melt with negligible loss of water, until a pressure is reached at which the melt is in equilibrium with near!; pure water vapor. From this pressure downward, the water content of the melt follows the water …","author":[{"dropping-particle":"","family":"Dixon","given":"Jacqueline Eaby","non-dropping-particle":"","parse-names":false,"suffix":""},{"dropping-particle":"","family":"Stolper","given":"Edward M.","non-dropping-particle":"","parse-names":false,"suffix":""}],"container-title":"Journal of Petrology","id":"ITEM-4","issue":"6","issued":{"date-parts":[["1995"]]},"page":"1633-1646","title":"An experimental study water and carbon dioxide solubilities in mid-ocean ridge basaltic liquids. Part II: Application to degassing","type":"article-journal","volume":"36"},"uris":["http://www.mendeley.com/documents/?uuid=38713b07-e299-4d03-849e-8164f6de93d7"]},{"id":"ITEM-5","itemData":{"DOI":"10.1016/S0009-2541(96)00176-3","ISSN":"0009-2541","abstract":"The carbon solubility in a Mid-Ocean Ridge Basaltic (MORB) melt was determined by equilibrating natural glass with CO2 produced by decomposition of silver oxalate. These experiments were performed in closed platinum capsules in an internally heated pressure vessel at 1200 and 1300°C, at oxygen fugacity close to the QFM buffer and at pressures between 250 and 1950 bar. Carbon was extracted by incremental heating to fusion and determined by manometry after oxidation to CO2. This method separates small contributions from bubbles trapped in the experimental melts and extracts all the dissolved carbon regardless of its chemical form. Linear correlation between total dissolved C and the total pressure was observed, confirming that carbon solubility obeys Henry's law in the range 0-2000 bar. This yields a best fit minimum solubility of 0.137 ± 0.004 ppm C/bar which can be applied to MORB at crustal pressures. These experimental glasses, measured by FTIR for carbonate ion absorptions, provide a new determination of the CO2-3 molar absorption coefficient (ε = 398 ± 10 1 mol-1 cm-1) in perfect agreement with an independent natural sample calibration (ε = 397 ± 7 1 mol-1 cm-1). Comparison to results from literature dissolved C contents of MORB glasses confirms that many are supersaturated at eruption as a result of slow kinetics of degassing, while a few others are undersaturated because of either C loss during degassing of water-rich melts or generation from carbon-poor sources.","author":[{"dropping-particle":"","family":"Jendrzejewski","given":"Nathalie","non-dropping-particle":"","parse-names":false,"suffix":""},{"dropping-particle":"","family":"Trull","given":"Thomas W.","non-dropping-particle":"","parse-names":false,"suffix":""},{"dropping-particle":"","family":"Pineau","given":"Françoise","non-dropping-particle":"","parse-names":false,"suffix":""},{"dropping-particle":"","family":"Javoy","given":"Marc","non-dropping-particle":"","parse-names":false,"suffix":""}],"container-title":"Chemical Geology","id":"ITEM-5","issue":"1-2","issued":{"date-parts":[["1997","5","15"]]},"page":"81-92","publisher":"Elsevier","title":"Carbon solubility in Mid-Ocean Ridge basaltic melt at low pressures (250–1950 bar)","type":"article-journal","volume":"138"},"uris":["http://www.mendeley.com/documents/?uuid=9a6012c2-db08-3081-8dc7-903e8d271554"]}],"mendeley":{"formattedCitation":"(Dixon and Stolper, 1995; Jendrzejewski et al., 1997; Pan et al., 1991; Shishkina et al., 2010; Stolper and Holloway, 1988)","manualFormatting":"(e.g., Dixon and Stolper, 1995; Jendrzejewski et al., 1997; Pan et al., 1991; Shishkina et al., 2010; Stolper and Holloway, 1988)","plainTextFormattedCitation":"(Dixon and Stolper, 1995; Jendrzejewski et al., 1997; Pan et al., 1991; Shishkina et al., 2010; Stolper and Holloway, 1988)","previouslyFormattedCitation":"(Dixon and Stolper, 1995; Jendrzejewski et al., 1997; Pan et al., 1991; Shishkina et al., 2010; Stolper and Holloway, 1988)"},"properties":{"noteIndex":0},"schema":"https://github.com/citation-style-language/schema/raw/master/csl-citation.json"}</w:instrText>
      </w:r>
      <w:r w:rsidR="00A70704">
        <w:rPr>
          <w:rFonts w:ascii="Times New Roman" w:hAnsi="Times New Roman"/>
        </w:rPr>
        <w:fldChar w:fldCharType="separate"/>
      </w:r>
      <w:r w:rsidR="000F0BD4" w:rsidRPr="000F0BD4">
        <w:rPr>
          <w:rFonts w:ascii="Times New Roman" w:hAnsi="Times New Roman"/>
          <w:noProof/>
        </w:rPr>
        <w:t>(</w:t>
      </w:r>
      <w:r w:rsidR="000F0BD4">
        <w:rPr>
          <w:rFonts w:ascii="Times New Roman" w:hAnsi="Times New Roman"/>
          <w:noProof/>
        </w:rPr>
        <w:t xml:space="preserve">e.g., </w:t>
      </w:r>
      <w:r w:rsidR="000F0BD4" w:rsidRPr="000F0BD4">
        <w:rPr>
          <w:rFonts w:ascii="Times New Roman" w:hAnsi="Times New Roman"/>
          <w:noProof/>
        </w:rPr>
        <w:t>Dixon and Stolper, 1995; Jendrzejewski et al., 1997; Pan et al., 1991; Shishkina et al., 2010; Stolper and Holloway, 1988)</w:t>
      </w:r>
      <w:r w:rsidR="00A70704">
        <w:rPr>
          <w:rFonts w:ascii="Times New Roman" w:hAnsi="Times New Roman"/>
        </w:rPr>
        <w:fldChar w:fldCharType="end"/>
      </w:r>
      <w:r w:rsidRPr="00021ACC">
        <w:rPr>
          <w:iCs/>
        </w:rPr>
        <w:t>. In this case</w:t>
      </w:r>
      <w:r w:rsidR="00DD1786">
        <w:rPr>
          <w:iCs/>
        </w:rPr>
        <w:t>,</w:t>
      </w:r>
      <w:r w:rsidRPr="00021ACC">
        <w:rPr>
          <w:iCs/>
        </w:rPr>
        <w:t xml:space="preserve"> </w:t>
      </w:r>
      <w:r w:rsidR="00FD2F77" w:rsidRPr="00B016E9">
        <w:rPr>
          <w:rFonts w:ascii="Times New Roman" w:hAnsi="Times New Roman"/>
          <w:i/>
          <w:iCs/>
          <w:color w:val="000000" w:themeColor="text1"/>
        </w:rPr>
        <w:t>a</w:t>
      </w:r>
      <w:r w:rsidR="00FD2F77" w:rsidRPr="00FD2F77">
        <w:rPr>
          <w:rFonts w:ascii="Times New Roman" w:hAnsi="Times New Roman"/>
          <w:i/>
          <w:iCs/>
          <w:color w:val="000000" w:themeColor="text1"/>
          <w:vertAlign w:val="superscript"/>
        </w:rPr>
        <w:t>m</w:t>
      </w:r>
      <w:r w:rsidR="00FD2F77" w:rsidRPr="00B016E9">
        <w:rPr>
          <w:rFonts w:ascii="Times New Roman" w:hAnsi="Times New Roman"/>
          <w:color w:val="000000" w:themeColor="text1"/>
          <w:vertAlign w:val="subscript"/>
        </w:rPr>
        <w:t>O2-</w:t>
      </w:r>
      <w:r w:rsidRPr="00021ACC">
        <w:t xml:space="preserve"> can be taken as a constant</w:t>
      </w:r>
      <w:r w:rsidR="00FD2F77">
        <w:t xml:space="preserve"> (</w:t>
      </w:r>
      <w:r w:rsidR="00FD2F77" w:rsidRPr="00B016E9">
        <w:rPr>
          <w:rFonts w:ascii="Times New Roman" w:hAnsi="Times New Roman"/>
          <w:i/>
          <w:iCs/>
          <w:color w:val="000000" w:themeColor="text1"/>
        </w:rPr>
        <w:t>a</w:t>
      </w:r>
      <w:r w:rsidR="00FD2F77" w:rsidRPr="00FD2F77">
        <w:rPr>
          <w:rFonts w:ascii="Times New Roman" w:hAnsi="Times New Roman"/>
          <w:i/>
          <w:iCs/>
          <w:color w:val="000000" w:themeColor="text1"/>
          <w:vertAlign w:val="superscript"/>
        </w:rPr>
        <w:t>m</w:t>
      </w:r>
      <w:r w:rsidR="00FD2F77">
        <w:rPr>
          <w:rFonts w:ascii="Times New Roman" w:hAnsi="Times New Roman"/>
          <w:i/>
          <w:iCs/>
          <w:color w:val="000000" w:themeColor="text1"/>
          <w:vertAlign w:val="superscript"/>
        </w:rPr>
        <w:t>,0</w:t>
      </w:r>
      <w:r w:rsidR="00FD2F77" w:rsidRPr="00B016E9">
        <w:rPr>
          <w:rFonts w:ascii="Times New Roman" w:hAnsi="Times New Roman"/>
          <w:color w:val="000000" w:themeColor="text1"/>
          <w:vertAlign w:val="subscript"/>
        </w:rPr>
        <w:t>O2-</w:t>
      </w:r>
      <w:r w:rsidR="00FD2F77" w:rsidRPr="00FD2F77">
        <w:rPr>
          <w:rFonts w:ascii="Times New Roman" w:hAnsi="Times New Roman"/>
          <w:color w:val="000000" w:themeColor="text1"/>
        </w:rPr>
        <w:t>)</w:t>
      </w:r>
      <w:r w:rsidRPr="00021ACC">
        <w:t xml:space="preserve"> and </w:t>
      </w:r>
      <w:r w:rsidR="00FD2F77" w:rsidRPr="00FD2F77">
        <w:rPr>
          <w:i/>
          <w:iCs/>
        </w:rPr>
        <w:t>f</w:t>
      </w:r>
      <w:r w:rsidR="00FD2F77" w:rsidRPr="00FD2F77">
        <w:rPr>
          <w:vertAlign w:val="subscript"/>
        </w:rPr>
        <w:t>CO2</w:t>
      </w:r>
      <w:r w:rsidRPr="00021ACC">
        <w:t xml:space="preserve"> is directly proportional to </w:t>
      </w:r>
      <w:r w:rsidR="00FD2F77" w:rsidRPr="00B016E9">
        <w:rPr>
          <w:rFonts w:ascii="Times New Roman" w:hAnsi="Times New Roman"/>
          <w:i/>
          <w:iCs/>
          <w:color w:val="000000" w:themeColor="text1"/>
        </w:rPr>
        <w:t>x</w:t>
      </w:r>
      <w:r w:rsidR="00FD2F77" w:rsidRPr="00FD2F77">
        <w:rPr>
          <w:rFonts w:ascii="Times New Roman" w:hAnsi="Times New Roman"/>
          <w:i/>
          <w:iCs/>
          <w:color w:val="000000" w:themeColor="text1"/>
          <w:vertAlign w:val="superscript"/>
        </w:rPr>
        <w:t>m</w:t>
      </w:r>
      <w:r w:rsidR="00FD2F77" w:rsidRPr="00B016E9">
        <w:rPr>
          <w:rFonts w:ascii="Times New Roman" w:hAnsi="Times New Roman"/>
          <w:color w:val="000000" w:themeColor="text1"/>
          <w:vertAlign w:val="subscript"/>
        </w:rPr>
        <w:t>CO32-</w:t>
      </w:r>
      <w:r w:rsidRPr="00021ACC">
        <w:t xml:space="preserve">: </w:t>
      </w:r>
    </w:p>
    <w:p w14:paraId="00ED74F5" w14:textId="0702B36B" w:rsidR="00021ACC" w:rsidRPr="00021ACC" w:rsidRDefault="00063B50" w:rsidP="00E31290">
      <w:pPr>
        <w:pStyle w:val="equation"/>
        <w:rPr>
          <w:i/>
          <w:iCs/>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m,0</m:t>
                      </m:r>
                    </m:sup>
                  </m:sSubSup>
                  <m:r>
                    <w:rPr>
                      <w:rFonts w:ascii="Cambria Math" w:hAnsi="Cambria Math"/>
                    </w:rPr>
                    <m:t xml:space="preserve"> </m:t>
                  </m:r>
                </m:den>
              </m:f>
              <m:r>
                <w:rPr>
                  <w:rFonts w:ascii="Cambria Math" w:hAnsi="Cambria Math"/>
                </w:rPr>
                <m:t>. #</m:t>
              </m:r>
              <m:d>
                <m:dPr>
                  <m:ctrlPr>
                    <w:rPr>
                      <w:rFonts w:ascii="Cambria Math" w:hAnsi="Cambria Math"/>
                      <w:i/>
                    </w:rPr>
                  </m:ctrlPr>
                </m:dPr>
                <m:e>
                  <m:r>
                    <m:rPr>
                      <m:sty m:val="p"/>
                    </m:rPr>
                    <w:rPr>
                      <w:rFonts w:ascii="Cambria Math" w:hAnsi="Cambria Math"/>
                    </w:rPr>
                    <m:t>S3</m:t>
                  </m:r>
                  <m:ctrlPr>
                    <w:rPr>
                      <w:rFonts w:ascii="Cambria Math" w:hAnsi="Cambria Math"/>
                    </w:rPr>
                  </m:ctrlPr>
                </m:e>
              </m:d>
            </m:e>
          </m:eqArr>
        </m:oMath>
      </m:oMathPara>
    </w:p>
    <w:p w14:paraId="26A39051" w14:textId="2DF418ED" w:rsidR="00021ACC" w:rsidRDefault="00AB0222" w:rsidP="006E5D37">
      <w:pPr>
        <w:jc w:val="both"/>
        <w:rPr>
          <w:rFonts w:ascii="Times New Roman" w:hAnsi="Times New Roman" w:cs="Times New Roman"/>
        </w:rPr>
      </w:pPr>
      <w:r>
        <w:rPr>
          <w:rFonts w:ascii="Times New Roman" w:hAnsi="Times New Roman" w:cs="Times New Roman"/>
        </w:rPr>
        <w:t xml:space="preserve">By </w:t>
      </w:r>
      <w:r w:rsidR="00473132">
        <w:rPr>
          <w:rFonts w:ascii="Times New Roman" w:hAnsi="Times New Roman" w:cs="Times New Roman"/>
        </w:rPr>
        <w:t>combining the oxide activity and equilibrium constant</w:t>
      </w:r>
      <w:r>
        <w:rPr>
          <w:rFonts w:ascii="Times New Roman" w:hAnsi="Times New Roman" w:cs="Times New Roman"/>
        </w:rPr>
        <w:t>, equation (</w:t>
      </w:r>
      <w:r w:rsidR="003C231C">
        <w:rPr>
          <w:rFonts w:ascii="Times New Roman" w:hAnsi="Times New Roman" w:cs="Times New Roman"/>
        </w:rPr>
        <w:t>S</w:t>
      </w:r>
      <w:r>
        <w:rPr>
          <w:rFonts w:ascii="Times New Roman" w:hAnsi="Times New Roman" w:cs="Times New Roman"/>
        </w:rPr>
        <w:t>3) becomes:</w:t>
      </w:r>
    </w:p>
    <w:p w14:paraId="0DA8F23E" w14:textId="31C54579" w:rsidR="00AB0222" w:rsidRPr="00AB0222" w:rsidRDefault="00063B50" w:rsidP="006E5D37">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
                    <m:sSubPr>
                      <m:ctrlPr>
                        <w:rPr>
                          <w:rFonts w:ascii="Cambria Math" w:hAnsi="Cambria Math"/>
                          <w:i/>
                          <w:iCs/>
                        </w:rPr>
                      </m:ctrlPr>
                    </m:sSubPr>
                    <m:e>
                      <m:r>
                        <w:rPr>
                          <w:rFonts w:ascii="Cambria Math" w:hAnsi="Cambria Math"/>
                        </w:rPr>
                        <m:t>C</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r>
                    <w:rPr>
                      <w:rFonts w:ascii="Cambria Math" w:hAnsi="Cambria Math"/>
                    </w:rPr>
                    <m:t xml:space="preserve"> </m:t>
                  </m:r>
                </m:den>
              </m:f>
              <m:r>
                <w:rPr>
                  <w:rFonts w:ascii="Cambria Math" w:hAnsi="Cambria Math"/>
                </w:rPr>
                <m:t>. #</m:t>
              </m:r>
              <m:d>
                <m:dPr>
                  <m:ctrlPr>
                    <w:rPr>
                      <w:rFonts w:ascii="Cambria Math" w:hAnsi="Cambria Math"/>
                      <w:i/>
                    </w:rPr>
                  </m:ctrlPr>
                </m:dPr>
                <m:e>
                  <m:r>
                    <m:rPr>
                      <m:sty m:val="p"/>
                    </m:rPr>
                    <w:rPr>
                      <w:rFonts w:ascii="Cambria Math" w:hAnsi="Cambria Math"/>
                    </w:rPr>
                    <m:t>S4</m:t>
                  </m:r>
                  <m:ctrlPr>
                    <w:rPr>
                      <w:rFonts w:ascii="Cambria Math" w:hAnsi="Cambria Math"/>
                    </w:rPr>
                  </m:ctrlPr>
                </m:e>
              </m:d>
            </m:e>
          </m:eqArr>
        </m:oMath>
      </m:oMathPara>
    </w:p>
    <w:p w14:paraId="34CD822D" w14:textId="086D00A9" w:rsidR="002F1145" w:rsidRDefault="00F662AC" w:rsidP="006E5D37">
      <w:pPr>
        <w:spacing w:after="245"/>
        <w:jc w:val="both"/>
        <w:rPr>
          <w:rFonts w:ascii="Times New Roman" w:eastAsiaTheme="minorEastAsia" w:hAnsi="Times New Roman" w:cs="Times New Roman"/>
          <w:iCs/>
        </w:rPr>
      </w:pPr>
      <w:r>
        <w:rPr>
          <w:rFonts w:ascii="Times New Roman" w:eastAsiaTheme="minorEastAsia" w:hAnsi="Times New Roman" w:cs="Times New Roman"/>
        </w:rPr>
        <w:t>w</w:t>
      </w:r>
      <w:r w:rsidR="00473132">
        <w:rPr>
          <w:rFonts w:ascii="Times New Roman" w:eastAsiaTheme="minorEastAsia" w:hAnsi="Times New Roman" w:cs="Times New Roman"/>
        </w:rPr>
        <w:t xml:space="preserve">here </w:t>
      </w:r>
      <w:r w:rsidR="00473132" w:rsidRPr="00473132">
        <w:rPr>
          <w:rFonts w:ascii="Times New Roman" w:eastAsiaTheme="minorEastAsia" w:hAnsi="Times New Roman" w:cs="Times New Roman"/>
          <w:i/>
          <w:iCs/>
        </w:rPr>
        <w:t>C</w:t>
      </w:r>
      <w:r w:rsidR="00473132" w:rsidRPr="00473132">
        <w:rPr>
          <w:rFonts w:ascii="Times New Roman" w:eastAsiaTheme="minorEastAsia" w:hAnsi="Times New Roman" w:cs="Times New Roman"/>
          <w:vertAlign w:val="subscript"/>
        </w:rPr>
        <w:t>CO32-</w:t>
      </w:r>
      <w:r w:rsidR="00473132">
        <w:rPr>
          <w:rFonts w:ascii="Times New Roman" w:eastAsiaTheme="minorEastAsia" w:hAnsi="Times New Roman" w:cs="Times New Roman"/>
        </w:rPr>
        <w:t xml:space="preserve"> is the solubility of carbonate. </w:t>
      </w:r>
      <w:r w:rsidR="00AB0222">
        <w:rPr>
          <w:rFonts w:ascii="Times New Roman" w:eastAsiaTheme="minorEastAsia" w:hAnsi="Times New Roman" w:cs="Times New Roman"/>
        </w:rPr>
        <w:t>We use the</w:t>
      </w:r>
      <w:r w:rsidR="00A70704">
        <w:rPr>
          <w:rFonts w:ascii="Times New Roman" w:eastAsiaTheme="minorEastAsia" w:hAnsi="Times New Roman" w:cs="Times New Roman"/>
        </w:rPr>
        <w:t xml:space="preserve"> </w:t>
      </w:r>
      <w:r w:rsidR="00A70704">
        <w:rPr>
          <w:rFonts w:ascii="Times New Roman" w:hAnsi="Times New Roman"/>
        </w:rPr>
        <w:fldChar w:fldCharType="begin" w:fldLock="1"/>
      </w:r>
      <w:r w:rsidR="000F0BD4">
        <w:rPr>
          <w:rFonts w:ascii="Times New Roman" w:hAnsi="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sidR="000F0BD4">
        <w:rPr>
          <w:rFonts w:ascii="Cambria Math" w:hAnsi="Cambria Math" w:cs="Cambria Math"/>
        </w:rPr>
        <w:instrText>⋅</w:instrText>
      </w:r>
      <w:r w:rsidR="000F0BD4">
        <w:rPr>
          <w:rFonts w:ascii="Times New Roman" w:hAnsi="Times New Roman"/>
        </w:rPr>
        <w:instrText>67±0</w:instrText>
      </w:r>
      <w:r w:rsidR="000F0BD4">
        <w:rPr>
          <w:rFonts w:ascii="Cambria Math" w:hAnsi="Cambria Math" w:cs="Cambria Math"/>
        </w:rPr>
        <w:instrText>⋅</w:instrText>
      </w:r>
      <w:r w:rsidR="000F0BD4">
        <w:rPr>
          <w:rFonts w:ascii="Times New Roman" w:hAnsi="Times New Roman"/>
        </w:rPr>
        <w:instrText>03, 0</w:instrText>
      </w:r>
      <w:r w:rsidR="000F0BD4">
        <w:rPr>
          <w:rFonts w:ascii="Cambria Math" w:hAnsi="Cambria Math" w:cs="Cambria Math"/>
        </w:rPr>
        <w:instrText>⋅</w:instrText>
      </w:r>
      <w:r w:rsidR="000F0BD4">
        <w:rPr>
          <w:rFonts w:ascii="Times New Roman" w:hAnsi="Times New Roman"/>
        </w:rPr>
        <w:instrText>62±0</w:instrText>
      </w:r>
      <w:r w:rsidR="000F0BD4">
        <w:rPr>
          <w:rFonts w:ascii="Cambria Math" w:hAnsi="Cambria Math" w:cs="Cambria Math"/>
        </w:rPr>
        <w:instrText>⋅</w:instrText>
      </w:r>
      <w:r w:rsidR="000F0BD4">
        <w:rPr>
          <w:rFonts w:ascii="Times New Roman" w:hAnsi="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sidR="000F0BD4">
        <w:rPr>
          <w:rFonts w:ascii="Cambria Math" w:hAnsi="Cambria Math" w:cs="Cambria Math"/>
        </w:rPr>
        <w:instrText>⋅</w:instrText>
      </w:r>
      <w:r w:rsidR="000F0BD4">
        <w:rPr>
          <w:rFonts w:ascii="Times New Roman" w:hAnsi="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sidR="000F0BD4">
        <w:rPr>
          <w:rFonts w:ascii="Cambria Math" w:hAnsi="Cambria Math" w:cs="Cambria Math"/>
        </w:rPr>
        <w:instrText>⋅</w:instrText>
      </w:r>
      <w:r w:rsidR="000F0BD4">
        <w:rPr>
          <w:rFonts w:ascii="Times New Roman" w:hAnsi="Times New Roman"/>
        </w:rPr>
        <w:instrText xml:space="preserve">5 p.p.m. Our revised determination of CO2 solubility is </w:instrText>
      </w:r>
      <w:r w:rsidR="000F0BD4">
        <w:rPr>
          <w:rFonts w:ascii="Cambria Math" w:hAnsi="Cambria Math" w:cs="Cambria Math"/>
        </w:rPr>
        <w:instrText>∼</w:instrText>
      </w:r>
      <w:r w:rsidR="000F0BD4">
        <w:rPr>
          <w:rFonts w:ascii="Times New Roman" w:hAnsi="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models","type":"article-journal","volume":"36"},"uris":["http://www.mendeley.com/documents/?uuid=2e9900bf-0994-3bf3-bbcb-76f8502edb39"]}],"mendeley":{"formattedCitation":"(Dixon et al., 1995)","manualFormatting":"Dixon et al. (1995)","plainTextFormattedCitation":"(Dixon et al., 1995)","previouslyFormattedCitation":"(Dixon et al., 1995)"},"properties":{"noteIndex":0},"schema":"https://github.com/citation-style-language/schema/raw/master/csl-citation.json"}</w:instrText>
      </w:r>
      <w:r w:rsidR="00A70704">
        <w:rPr>
          <w:rFonts w:ascii="Times New Roman" w:hAnsi="Times New Roman"/>
        </w:rPr>
        <w:fldChar w:fldCharType="separate"/>
      </w:r>
      <w:r w:rsidR="000F0BD4" w:rsidRPr="000F0BD4">
        <w:rPr>
          <w:rFonts w:ascii="Times New Roman" w:hAnsi="Times New Roman"/>
          <w:noProof/>
        </w:rPr>
        <w:t xml:space="preserve">Dixon et al. </w:t>
      </w:r>
      <w:r w:rsidR="000F0BD4">
        <w:rPr>
          <w:rFonts w:ascii="Times New Roman" w:hAnsi="Times New Roman"/>
          <w:noProof/>
        </w:rPr>
        <w:t>(</w:t>
      </w:r>
      <w:r w:rsidR="000F0BD4" w:rsidRPr="000F0BD4">
        <w:rPr>
          <w:rFonts w:ascii="Times New Roman" w:hAnsi="Times New Roman"/>
          <w:noProof/>
        </w:rPr>
        <w:t>1995)</w:t>
      </w:r>
      <w:r w:rsidR="00A70704">
        <w:rPr>
          <w:rFonts w:ascii="Times New Roman" w:hAnsi="Times New Roman"/>
        </w:rPr>
        <w:fldChar w:fldCharType="end"/>
      </w:r>
      <w:r w:rsidR="00AB0222">
        <w:rPr>
          <w:rFonts w:ascii="Times New Roman" w:eastAsiaTheme="minorEastAsia" w:hAnsi="Times New Roman" w:cs="Times New Roman"/>
        </w:rPr>
        <w:t xml:space="preserve"> for parameterisation of </w:t>
      </w:r>
      <w:r w:rsidR="00B67966" w:rsidRPr="00B67966">
        <w:rPr>
          <w:rFonts w:ascii="Times New Roman" w:eastAsiaTheme="minorEastAsia" w:hAnsi="Times New Roman" w:cs="Times New Roman"/>
          <w:i/>
          <w:iCs/>
        </w:rPr>
        <w:t>C</w:t>
      </w:r>
      <w:r w:rsidR="00B67966" w:rsidRPr="00B67966">
        <w:rPr>
          <w:rFonts w:ascii="Times New Roman" w:eastAsiaTheme="minorEastAsia" w:hAnsi="Times New Roman" w:cs="Times New Roman"/>
          <w:vertAlign w:val="subscript"/>
        </w:rPr>
        <w:t>CO32-</w:t>
      </w:r>
      <w:r w:rsidR="00AB0222">
        <w:rPr>
          <w:rFonts w:ascii="Times New Roman" w:eastAsiaTheme="minorEastAsia" w:hAnsi="Times New Roman" w:cs="Times New Roman"/>
          <w:iCs/>
        </w:rPr>
        <w:t xml:space="preserve"> for </w:t>
      </w:r>
      <w:r w:rsidR="0013038B">
        <w:rPr>
          <w:rFonts w:ascii="Times New Roman" w:eastAsiaTheme="minorEastAsia" w:hAnsi="Times New Roman" w:cs="Times New Roman"/>
          <w:iCs/>
        </w:rPr>
        <w:t xml:space="preserve">MORB </w:t>
      </w:r>
      <w:r w:rsidR="00AB0222">
        <w:rPr>
          <w:rFonts w:ascii="Times New Roman" w:eastAsiaTheme="minorEastAsia" w:hAnsi="Times New Roman" w:cs="Times New Roman"/>
          <w:iCs/>
        </w:rPr>
        <w:t>melts in our calculations</w:t>
      </w:r>
      <w:r w:rsidR="002F1145">
        <w:rPr>
          <w:rFonts w:ascii="Times New Roman" w:eastAsiaTheme="minorEastAsia" w:hAnsi="Times New Roman" w:cs="Times New Roman"/>
          <w:iCs/>
        </w:rPr>
        <w:t xml:space="preserve">, which incorporates a </w:t>
      </w:r>
      <w:r w:rsidR="002F1145">
        <w:rPr>
          <w:rFonts w:ascii="Times New Roman" w:eastAsiaTheme="minorEastAsia" w:hAnsi="Times New Roman" w:cs="Times New Roman"/>
          <w:i/>
        </w:rPr>
        <w:t>P</w:t>
      </w:r>
      <w:r w:rsidR="002F1145">
        <w:rPr>
          <w:rFonts w:ascii="Times New Roman" w:eastAsiaTheme="minorEastAsia" w:hAnsi="Times New Roman" w:cs="Times New Roman"/>
          <w:iCs/>
        </w:rPr>
        <w:t>-dependence using a volume term</w:t>
      </w:r>
      <w:r>
        <w:rPr>
          <w:rFonts w:ascii="Times New Roman" w:eastAsiaTheme="minorEastAsia" w:hAnsi="Times New Roman" w:cs="Times New Roman"/>
          <w:iCs/>
        </w:rPr>
        <w:t>, assumed to be constant</w:t>
      </w:r>
      <w:r w:rsidR="002F1145">
        <w:rPr>
          <w:rFonts w:ascii="Times New Roman" w:eastAsiaTheme="minorEastAsia" w:hAnsi="Times New Roman" w:cs="Times New Roman"/>
          <w:iCs/>
        </w:rPr>
        <w:t>:</w:t>
      </w:r>
      <w:r w:rsidR="0006724B">
        <w:rPr>
          <w:rFonts w:ascii="Times New Roman" w:eastAsiaTheme="minorEastAsia" w:hAnsi="Times New Roman" w:cs="Times New Roman"/>
          <w:iCs/>
        </w:rPr>
        <w:t xml:space="preserve"> </w:t>
      </w:r>
    </w:p>
    <w:p w14:paraId="4ABCC74A" w14:textId="4DDE2F15" w:rsidR="002F1145" w:rsidRPr="00AB0222" w:rsidRDefault="00063B50" w:rsidP="002F1145">
      <w:pPr>
        <w:pStyle w:val="equation"/>
        <w:rPr>
          <w:rFonts w:ascii="Times New Roman" w:hAnsi="Times New Roman"/>
        </w:rPr>
      </w:pPr>
      <m:oMathPara>
        <m:oMath>
          <m:eqArr>
            <m:eqArrPr>
              <m:maxDist m:val="1"/>
              <m:ctrlPr>
                <w:rPr>
                  <w:rFonts w:ascii="Cambria Math" w:hAnsi="Cambria Math"/>
                  <w:i/>
                </w:rPr>
              </m:ctrlPr>
            </m:eqArrPr>
            <m:e>
              <m:func>
                <m:funcPr>
                  <m:ctrlPr>
                    <w:rPr>
                      <w:rFonts w:ascii="Cambria Math" w:hAnsi="Cambria Math"/>
                      <w:i/>
                      <w:iCs/>
                    </w:rPr>
                  </m:ctrlPr>
                </m:funcPr>
                <m:fName>
                  <m:r>
                    <m:rPr>
                      <m:sty m:val="p"/>
                    </m:rPr>
                    <w:rPr>
                      <w:rFonts w:ascii="Cambria Math" w:hAnsi="Cambria Math"/>
                    </w:rPr>
                    <m:t>ln</m:t>
                  </m:r>
                </m:fName>
                <m:e>
                  <m:r>
                    <w:rPr>
                      <w:rFonts w:ascii="Cambria Math" w:hAnsi="Cambria Math"/>
                    </w:rPr>
                    <m:t>K</m:t>
                  </m:r>
                </m:e>
              </m:func>
              <m:r>
                <w:rPr>
                  <w:rFonts w:ascii="Cambria Math" w:hAnsi="Cambria Math"/>
                </w:rPr>
                <m:t>=</m:t>
              </m:r>
              <m:func>
                <m:funcPr>
                  <m:ctrlPr>
                    <w:rPr>
                      <w:rFonts w:ascii="Cambria Math" w:hAnsi="Cambria Math"/>
                      <w:i/>
                      <w:iCs/>
                    </w:rPr>
                  </m:ctrlPr>
                </m:funcPr>
                <m:fName>
                  <m:r>
                    <m:rPr>
                      <m:sty m:val="p"/>
                    </m:rPr>
                    <w:rPr>
                      <w:rFonts w:ascii="Cambria Math" w:hAnsi="Cambria Math"/>
                    </w:rPr>
                    <m:t>ln</m:t>
                  </m:r>
                </m:fName>
                <m:e>
                  <m:sSub>
                    <m:sSubPr>
                      <m:ctrlPr>
                        <w:rPr>
                          <w:rFonts w:ascii="Cambria Math" w:hAnsi="Cambria Math"/>
                          <w:i/>
                          <w:iCs/>
                        </w:rPr>
                      </m:ctrlPr>
                    </m:sSubPr>
                    <m:e>
                      <m:r>
                        <w:rPr>
                          <w:rFonts w:ascii="Cambria Math" w:hAnsi="Cambria Math"/>
                        </w:rPr>
                        <m:t>K</m:t>
                      </m:r>
                    </m:e>
                    <m:sub>
                      <m:r>
                        <w:rPr>
                          <w:rFonts w:ascii="Cambria Math" w:hAnsi="Cambria Math"/>
                        </w:rPr>
                        <m:t>0</m:t>
                      </m:r>
                    </m:sub>
                  </m:sSub>
                </m:e>
              </m:func>
              <m:r>
                <w:rPr>
                  <w:rFonts w:ascii="Cambria Math" w:hAnsi="Cambria Math"/>
                </w:rPr>
                <m:t>-</m:t>
              </m:r>
              <m:f>
                <m:fPr>
                  <m:ctrlPr>
                    <w:rPr>
                      <w:rFonts w:ascii="Cambria Math" w:hAnsi="Cambria Math"/>
                      <w:i/>
                      <w:iCs/>
                    </w:rPr>
                  </m:ctrlPr>
                </m:fPr>
                <m:num>
                  <m:r>
                    <w:rPr>
                      <w:rFonts w:ascii="Cambria Math" w:hAnsi="Cambria Math"/>
                    </w:rPr>
                    <m:t>∆V</m:t>
                  </m:r>
                  <m:d>
                    <m:dPr>
                      <m:ctrlPr>
                        <w:rPr>
                          <w:rFonts w:ascii="Cambria Math" w:hAnsi="Cambria Math"/>
                          <w:i/>
                          <w:iCs/>
                        </w:rPr>
                      </m:ctrlPr>
                    </m:dPr>
                    <m:e>
                      <m:r>
                        <w:rPr>
                          <w:rFonts w:ascii="Cambria Math" w:hAnsi="Cambria Math"/>
                        </w:rPr>
                        <m:t>P-</m:t>
                      </m:r>
                      <m:sSub>
                        <m:sSubPr>
                          <m:ctrlPr>
                            <w:rPr>
                              <w:rFonts w:ascii="Cambria Math" w:hAnsi="Cambria Math"/>
                              <w:i/>
                              <w:iCs/>
                            </w:rPr>
                          </m:ctrlPr>
                        </m:sSubPr>
                        <m:e>
                          <m:r>
                            <w:rPr>
                              <w:rFonts w:ascii="Cambria Math" w:hAnsi="Cambria Math"/>
                            </w:rPr>
                            <m:t>P</m:t>
                          </m:r>
                        </m:e>
                        <m:sub>
                          <m:r>
                            <w:rPr>
                              <w:rFonts w:ascii="Cambria Math" w:hAnsi="Cambria Math"/>
                            </w:rPr>
                            <m:t>0</m:t>
                          </m:r>
                        </m:sub>
                      </m:sSub>
                    </m:e>
                  </m:d>
                </m:num>
                <m:den>
                  <m:r>
                    <w:rPr>
                      <w:rFonts w:ascii="Cambria Math" w:hAnsi="Cambria Math"/>
                    </w:rPr>
                    <m:t>RT</m:t>
                  </m:r>
                </m:den>
              </m:f>
              <m:r>
                <w:rPr>
                  <w:rFonts w:ascii="Cambria Math" w:hAnsi="Cambria Math"/>
                </w:rPr>
                <m:t>, #</m:t>
              </m:r>
              <m:d>
                <m:dPr>
                  <m:ctrlPr>
                    <w:rPr>
                      <w:rFonts w:ascii="Cambria Math" w:hAnsi="Cambria Math"/>
                      <w:i/>
                    </w:rPr>
                  </m:ctrlPr>
                </m:dPr>
                <m:e>
                  <m:r>
                    <m:rPr>
                      <m:sty m:val="p"/>
                    </m:rPr>
                    <w:rPr>
                      <w:rFonts w:ascii="Cambria Math" w:hAnsi="Cambria Math"/>
                    </w:rPr>
                    <m:t>S5</m:t>
                  </m:r>
                  <m:ctrlPr>
                    <w:rPr>
                      <w:rFonts w:ascii="Cambria Math" w:hAnsi="Cambria Math"/>
                    </w:rPr>
                  </m:ctrlPr>
                </m:e>
              </m:d>
            </m:e>
          </m:eqArr>
        </m:oMath>
      </m:oMathPara>
    </w:p>
    <w:p w14:paraId="1D8BE429" w14:textId="599958AD" w:rsidR="00AB0222" w:rsidRDefault="00F662AC" w:rsidP="006B6E47">
      <w:pPr>
        <w:spacing w:after="245"/>
        <w:jc w:val="both"/>
        <w:rPr>
          <w:rFonts w:ascii="Times New Roman" w:eastAsiaTheme="minorEastAsia" w:hAnsi="Times New Roman" w:cs="Times New Roman"/>
          <w:iCs/>
        </w:rPr>
      </w:pPr>
      <w:r>
        <w:rPr>
          <w:rFonts w:ascii="Times New Roman" w:eastAsiaTheme="minorEastAsia" w:hAnsi="Times New Roman" w:cs="Times New Roman"/>
          <w:iCs/>
        </w:rPr>
        <w:t>w</w:t>
      </w:r>
      <w:r w:rsidR="002F1145">
        <w:rPr>
          <w:rFonts w:ascii="Times New Roman" w:eastAsiaTheme="minorEastAsia" w:hAnsi="Times New Roman" w:cs="Times New Roman"/>
          <w:iCs/>
        </w:rPr>
        <w:t>here</w:t>
      </w:r>
      <w:r w:rsidR="00B67966">
        <w:rPr>
          <w:rFonts w:ascii="Times New Roman" w:eastAsiaTheme="minorEastAsia" w:hAnsi="Times New Roman" w:cs="Times New Roman"/>
          <w:iCs/>
        </w:rPr>
        <w:t xml:space="preserve"> </w:t>
      </w:r>
      <w:proofErr w:type="spellStart"/>
      <w:r w:rsidR="00B67966">
        <w:rPr>
          <w:rFonts w:ascii="Times New Roman" w:eastAsiaTheme="minorEastAsia" w:hAnsi="Times New Roman" w:cs="Times New Roman"/>
          <w:iCs/>
        </w:rPr>
        <w:t>ln</w:t>
      </w:r>
      <w:r w:rsidR="00B67966" w:rsidRPr="00B67966">
        <w:rPr>
          <w:rFonts w:ascii="Times New Roman" w:eastAsiaTheme="minorEastAsia" w:hAnsi="Times New Roman" w:cs="Times New Roman"/>
          <w:i/>
        </w:rPr>
        <w:t>K</w:t>
      </w:r>
      <w:proofErr w:type="spellEnd"/>
      <w:r w:rsidR="002F1145">
        <w:rPr>
          <w:rFonts w:ascii="Times New Roman" w:eastAsiaTheme="minorEastAsia" w:hAnsi="Times New Roman" w:cs="Times New Roman"/>
          <w:iCs/>
        </w:rPr>
        <w:t xml:space="preserve"> </w:t>
      </w:r>
      <w:r w:rsidR="001D4254">
        <w:rPr>
          <w:rFonts w:ascii="Times New Roman" w:eastAsiaTheme="minorEastAsia" w:hAnsi="Times New Roman" w:cs="Times New Roman"/>
          <w:iCs/>
        </w:rPr>
        <w:t>is</w:t>
      </w:r>
      <w:r w:rsidR="00B67966">
        <w:rPr>
          <w:rFonts w:ascii="Times New Roman" w:eastAsiaTheme="minorEastAsia" w:hAnsi="Times New Roman" w:cs="Times New Roman"/>
          <w:iCs/>
        </w:rPr>
        <w:t xml:space="preserve"> </w:t>
      </w:r>
      <w:proofErr w:type="spellStart"/>
      <w:r w:rsidR="00B67966">
        <w:rPr>
          <w:rFonts w:ascii="Times New Roman" w:eastAsiaTheme="minorEastAsia" w:hAnsi="Times New Roman" w:cs="Times New Roman"/>
          <w:iCs/>
        </w:rPr>
        <w:t>ln</w:t>
      </w:r>
      <w:r w:rsidR="00B67966" w:rsidRPr="00B67966">
        <w:rPr>
          <w:rFonts w:ascii="Times New Roman" w:eastAsiaTheme="minorEastAsia" w:hAnsi="Times New Roman" w:cs="Times New Roman"/>
          <w:i/>
        </w:rPr>
        <w:t>C</w:t>
      </w:r>
      <w:r w:rsidR="00B67966" w:rsidRPr="00B67966">
        <w:rPr>
          <w:rFonts w:ascii="Times New Roman" w:eastAsiaTheme="minorEastAsia" w:hAnsi="Times New Roman" w:cs="Times New Roman"/>
          <w:i/>
          <w:vertAlign w:val="subscript"/>
        </w:rPr>
        <w:t>i</w:t>
      </w:r>
      <w:proofErr w:type="spellEnd"/>
      <w:r w:rsidR="002F1145">
        <w:rPr>
          <w:rFonts w:ascii="Times New Roman" w:eastAsiaTheme="minorEastAsia" w:hAnsi="Times New Roman" w:cs="Times New Roman"/>
          <w:iCs/>
        </w:rPr>
        <w:t xml:space="preserve">, </w:t>
      </w:r>
      <w:r w:rsidR="00B67966">
        <w:rPr>
          <w:rFonts w:ascii="Times New Roman" w:eastAsiaTheme="minorEastAsia" w:hAnsi="Times New Roman" w:cs="Times New Roman"/>
          <w:iCs/>
        </w:rPr>
        <w:t>ln</w:t>
      </w:r>
      <w:r w:rsidR="00B67966" w:rsidRPr="00B67966">
        <w:rPr>
          <w:rFonts w:ascii="Times New Roman" w:eastAsiaTheme="minorEastAsia" w:hAnsi="Times New Roman" w:cs="Times New Roman"/>
          <w:i/>
        </w:rPr>
        <w:t>K</w:t>
      </w:r>
      <w:r w:rsidR="00B67966" w:rsidRPr="00B67966">
        <w:rPr>
          <w:rFonts w:ascii="Times New Roman" w:eastAsiaTheme="minorEastAsia" w:hAnsi="Times New Roman" w:cs="Times New Roman"/>
          <w:iCs/>
          <w:vertAlign w:val="subscript"/>
        </w:rPr>
        <w:t>0</w:t>
      </w:r>
      <w:r w:rsidR="001D4254">
        <w:rPr>
          <w:rFonts w:ascii="Times New Roman" w:eastAsiaTheme="minorEastAsia" w:hAnsi="Times New Roman" w:cs="Times New Roman"/>
          <w:iCs/>
        </w:rPr>
        <w:t xml:space="preserve"> is </w:t>
      </w:r>
      <w:proofErr w:type="spellStart"/>
      <w:r w:rsidR="00B67966">
        <w:rPr>
          <w:rFonts w:ascii="Times New Roman" w:eastAsiaTheme="minorEastAsia" w:hAnsi="Times New Roman" w:cs="Times New Roman"/>
          <w:iCs/>
        </w:rPr>
        <w:t>ln</w:t>
      </w:r>
      <w:r w:rsidR="00B67966" w:rsidRPr="00B67966">
        <w:rPr>
          <w:rFonts w:ascii="Times New Roman" w:eastAsiaTheme="minorEastAsia" w:hAnsi="Times New Roman" w:cs="Times New Roman"/>
          <w:i/>
        </w:rPr>
        <w:t>C</w:t>
      </w:r>
      <w:r w:rsidR="00B67966" w:rsidRPr="00B67966">
        <w:rPr>
          <w:rFonts w:ascii="Times New Roman" w:eastAsiaTheme="minorEastAsia" w:hAnsi="Times New Roman" w:cs="Times New Roman"/>
          <w:i/>
          <w:vertAlign w:val="subscript"/>
        </w:rPr>
        <w:t>i</w:t>
      </w:r>
      <w:proofErr w:type="spellEnd"/>
      <m:oMath>
        <m:r>
          <w:rPr>
            <w:rFonts w:ascii="Cambria Math" w:eastAsiaTheme="minorEastAsia" w:hAnsi="Cambria Math" w:cs="Times New Roman"/>
          </w:rPr>
          <m:t xml:space="preserve"> </m:t>
        </m:r>
      </m:oMath>
      <w:r w:rsidR="001D4254">
        <w:rPr>
          <w:rFonts w:ascii="Times New Roman" w:eastAsiaTheme="minorEastAsia" w:hAnsi="Times New Roman" w:cs="Times New Roman"/>
          <w:iCs/>
        </w:rPr>
        <w:t>at a reference set of conditions (</w:t>
      </w:r>
      <w:r w:rsidR="001D4254" w:rsidRPr="004A18D8">
        <w:rPr>
          <w:rFonts w:ascii="Times New Roman" w:eastAsiaTheme="minorEastAsia" w:hAnsi="Times New Roman" w:cs="Times New Roman"/>
          <w:i/>
        </w:rPr>
        <w:t>P</w:t>
      </w:r>
      <w:r w:rsidR="001D4254" w:rsidRPr="004A18D8">
        <w:rPr>
          <w:rFonts w:ascii="Times New Roman" w:eastAsiaTheme="minorEastAsia" w:hAnsi="Times New Roman" w:cs="Times New Roman"/>
          <w:iCs/>
          <w:vertAlign w:val="subscript"/>
        </w:rPr>
        <w:t>0</w:t>
      </w:r>
      <w:r w:rsidR="001D4254">
        <w:rPr>
          <w:rFonts w:ascii="Times New Roman" w:eastAsiaTheme="minorEastAsia" w:hAnsi="Times New Roman" w:cs="Times New Roman"/>
          <w:iCs/>
        </w:rPr>
        <w:t xml:space="preserve">, </w:t>
      </w:r>
      <w:r w:rsidR="001D4254" w:rsidRPr="004A18D8">
        <w:rPr>
          <w:rFonts w:ascii="Times New Roman" w:eastAsiaTheme="minorEastAsia" w:hAnsi="Times New Roman" w:cs="Times New Roman"/>
          <w:i/>
        </w:rPr>
        <w:t>T</w:t>
      </w:r>
      <w:r w:rsidR="001D4254" w:rsidRPr="005B7A37">
        <w:rPr>
          <w:rFonts w:ascii="Times New Roman" w:eastAsiaTheme="minorEastAsia" w:hAnsi="Times New Roman" w:cs="Times New Roman"/>
          <w:iCs/>
          <w:vertAlign w:val="subscript"/>
        </w:rPr>
        <w:t>0</w:t>
      </w:r>
      <w:r w:rsidR="001D4254">
        <w:rPr>
          <w:rFonts w:ascii="Times New Roman" w:eastAsiaTheme="minorEastAsia" w:hAnsi="Times New Roman" w:cs="Times New Roman"/>
          <w:iCs/>
        </w:rPr>
        <w:t>), and</w:t>
      </w:r>
      <w:r w:rsidR="00B67966">
        <w:rPr>
          <w:rFonts w:ascii="Times New Roman" w:eastAsiaTheme="minorEastAsia" w:hAnsi="Times New Roman" w:cs="Times New Roman"/>
          <w:iCs/>
        </w:rPr>
        <w:t xml:space="preserve"> </w:t>
      </w:r>
      <w:r w:rsidR="00B67966" w:rsidRPr="00B67966">
        <w:rPr>
          <w:rFonts w:ascii="Times New Roman" w:eastAsiaTheme="minorEastAsia" w:hAnsi="Times New Roman" w:cs="Times New Roman"/>
          <w:iCs/>
        </w:rPr>
        <w:t>Δ</w:t>
      </w:r>
      <w:r w:rsidR="00B67966" w:rsidRPr="00B67966">
        <w:rPr>
          <w:rFonts w:ascii="Times New Roman" w:eastAsiaTheme="minorEastAsia" w:hAnsi="Times New Roman" w:cs="Times New Roman"/>
          <w:i/>
        </w:rPr>
        <w:t>V</w:t>
      </w:r>
      <w:r w:rsidR="001D4254">
        <w:rPr>
          <w:rFonts w:ascii="Times New Roman" w:eastAsiaTheme="minorEastAsia" w:hAnsi="Times New Roman" w:cs="Times New Roman"/>
          <w:iCs/>
        </w:rPr>
        <w:t xml:space="preserve"> is the volume change of the reaction</w:t>
      </w:r>
      <w:r>
        <w:rPr>
          <w:rFonts w:ascii="Times New Roman" w:eastAsiaTheme="minorEastAsia" w:hAnsi="Times New Roman" w:cs="Times New Roman"/>
          <w:iCs/>
        </w:rPr>
        <w:t xml:space="preserve"> of the condensed phases</w:t>
      </w:r>
      <w:r w:rsidR="001D4254">
        <w:rPr>
          <w:rFonts w:ascii="Times New Roman" w:eastAsiaTheme="minorEastAsia" w:hAnsi="Times New Roman" w:cs="Times New Roman"/>
          <w:iCs/>
        </w:rPr>
        <w:t xml:space="preserve">: </w:t>
      </w:r>
      <w:r w:rsidR="00B67966">
        <w:rPr>
          <w:rFonts w:ascii="Times New Roman" w:eastAsiaTheme="minorEastAsia" w:hAnsi="Times New Roman" w:cs="Times New Roman"/>
          <w:i/>
        </w:rPr>
        <w:t>K</w:t>
      </w:r>
      <w:r w:rsidR="00B67966" w:rsidRPr="00B67966">
        <w:rPr>
          <w:rFonts w:ascii="Times New Roman" w:eastAsiaTheme="minorEastAsia" w:hAnsi="Times New Roman" w:cs="Times New Roman"/>
          <w:iCs/>
          <w:vertAlign w:val="subscript"/>
        </w:rPr>
        <w:t>0</w:t>
      </w:r>
      <w:r w:rsidR="006840FE">
        <w:rPr>
          <w:rFonts w:ascii="Times New Roman" w:eastAsiaTheme="minorEastAsia" w:hAnsi="Times New Roman" w:cs="Times New Roman"/>
          <w:iCs/>
        </w:rPr>
        <w:t xml:space="preserve"> = 3.8 </w:t>
      </w:r>
      <w:r w:rsidR="001D4254" w:rsidRPr="000B6300">
        <w:rPr>
          <w:rFonts w:ascii="Times New Roman" w:hAnsi="Times New Roman" w:cs="Times New Roman"/>
        </w:rPr>
        <w:t>×</w:t>
      </w:r>
      <w:r w:rsidR="006840FE">
        <w:rPr>
          <w:rFonts w:ascii="Times New Roman" w:eastAsiaTheme="minorEastAsia" w:hAnsi="Times New Roman" w:cs="Times New Roman"/>
          <w:iCs/>
        </w:rPr>
        <w:t xml:space="preserve"> 10</w:t>
      </w:r>
      <w:r w:rsidR="006840FE" w:rsidRPr="005B7A37">
        <w:rPr>
          <w:rFonts w:ascii="Times New Roman" w:eastAsiaTheme="minorEastAsia" w:hAnsi="Times New Roman" w:cs="Times New Roman"/>
          <w:iCs/>
          <w:vertAlign w:val="superscript"/>
        </w:rPr>
        <w:t>-7</w:t>
      </w:r>
      <w:r w:rsidR="006840FE">
        <w:rPr>
          <w:rFonts w:ascii="Times New Roman" w:eastAsiaTheme="minorEastAsia" w:hAnsi="Times New Roman" w:cs="Times New Roman"/>
          <w:iCs/>
        </w:rPr>
        <w:t xml:space="preserve">; </w:t>
      </w:r>
      <w:r w:rsidR="006840FE" w:rsidRPr="005B7A37">
        <w:rPr>
          <w:rFonts w:ascii="Times New Roman" w:eastAsiaTheme="minorEastAsia" w:hAnsi="Times New Roman" w:cs="Times New Roman"/>
          <w:i/>
        </w:rPr>
        <w:t>P</w:t>
      </w:r>
      <w:r w:rsidR="006840FE" w:rsidRPr="005B7A37">
        <w:rPr>
          <w:rFonts w:ascii="Times New Roman" w:eastAsiaTheme="minorEastAsia" w:hAnsi="Times New Roman" w:cs="Times New Roman"/>
          <w:iCs/>
          <w:vertAlign w:val="subscript"/>
        </w:rPr>
        <w:t>0</w:t>
      </w:r>
      <w:r w:rsidR="006840FE">
        <w:rPr>
          <w:rFonts w:ascii="Times New Roman" w:eastAsiaTheme="minorEastAsia" w:hAnsi="Times New Roman" w:cs="Times New Roman"/>
          <w:iCs/>
        </w:rPr>
        <w:t xml:space="preserve"> = 1 bar; and </w:t>
      </w:r>
      <w:r w:rsidR="00B67966" w:rsidRPr="00B67966">
        <w:rPr>
          <w:rFonts w:ascii="Times New Roman" w:eastAsiaTheme="minorEastAsia" w:hAnsi="Times New Roman" w:cs="Times New Roman"/>
          <w:iCs/>
        </w:rPr>
        <w:t>Δ</w:t>
      </w:r>
      <w:r w:rsidR="00B67966" w:rsidRPr="00B016E9">
        <w:rPr>
          <w:rFonts w:ascii="Times New Roman" w:eastAsiaTheme="minorEastAsia" w:hAnsi="Times New Roman" w:cs="Times New Roman"/>
          <w:i/>
        </w:rPr>
        <w:t>V</w:t>
      </w:r>
      <w:r w:rsidR="00B67966">
        <w:rPr>
          <w:rFonts w:ascii="Times New Roman" w:eastAsiaTheme="minorEastAsia" w:hAnsi="Times New Roman" w:cs="Times New Roman"/>
          <w:iCs/>
        </w:rPr>
        <w:t xml:space="preserve"> </w:t>
      </w:r>
      <w:r w:rsidR="006840FE">
        <w:rPr>
          <w:rFonts w:ascii="Times New Roman" w:eastAsiaTheme="minorEastAsia" w:hAnsi="Times New Roman" w:cs="Times New Roman"/>
          <w:iCs/>
        </w:rPr>
        <w:t>= 23.0 cm</w:t>
      </w:r>
      <w:r w:rsidR="006840FE" w:rsidRPr="005B7A37">
        <w:rPr>
          <w:rFonts w:ascii="Times New Roman" w:eastAsiaTheme="minorEastAsia" w:hAnsi="Times New Roman" w:cs="Times New Roman"/>
          <w:iCs/>
          <w:vertAlign w:val="superscript"/>
        </w:rPr>
        <w:t>3</w:t>
      </w:r>
      <w:r w:rsidR="006840FE">
        <w:rPr>
          <w:rFonts w:ascii="Times New Roman" w:eastAsiaTheme="minorEastAsia" w:hAnsi="Times New Roman" w:cs="Times New Roman"/>
          <w:iCs/>
        </w:rPr>
        <w:t>/mol. The parameterisation uses data from</w:t>
      </w:r>
      <w:r w:rsidR="0013038B">
        <w:rPr>
          <w:rFonts w:ascii="Times New Roman" w:eastAsiaTheme="minorEastAsia" w:hAnsi="Times New Roman" w:cs="Times New Roman"/>
          <w:iCs/>
        </w:rPr>
        <w:t xml:space="preserve"> </w:t>
      </w:r>
      <w:r w:rsidR="0013038B">
        <w:rPr>
          <w:rFonts w:ascii="Times New Roman" w:eastAsiaTheme="minorEastAsia" w:hAnsi="Times New Roman" w:cs="Times New Roman"/>
          <w:iCs/>
        </w:rPr>
        <w:fldChar w:fldCharType="begin" w:fldLock="1"/>
      </w:r>
      <w:r w:rsidR="00F81B70">
        <w:rPr>
          <w:rFonts w:ascii="Times New Roman" w:eastAsiaTheme="minorEastAsia" w:hAnsi="Times New Roman" w:cs="Times New Roman"/>
          <w:iCs/>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67±0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03, 0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62±0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 xml:space="preserve">5 p.p.m. Our revised determination of CO2 solubility is </w:instrText>
      </w:r>
      <w:r w:rsidR="00F81B70">
        <w:rPr>
          <w:rFonts w:ascii="Cambria Math" w:eastAsiaTheme="minorEastAsia" w:hAnsi="Cambria Math" w:cs="Cambria Math"/>
          <w:iCs/>
        </w:rPr>
        <w:instrText>∼</w:instrText>
      </w:r>
      <w:r w:rsidR="00F81B70">
        <w:rPr>
          <w:rFonts w:ascii="Times New Roman" w:eastAsiaTheme="minorEastAsia" w:hAnsi="Times New Roman" w:cs="Times New Roman"/>
          <w:iCs/>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models","type":"article-journal","volume":"36"},"uris":["http://www.mendeley.com/documents/?uuid=2e9900bf-0994-3bf3-bbcb-76f8502edb39"]},{"id":"ITEM-2","itemData":{"DOI":"10.1016/0016-7037(91)90130-W","ISSN":"00167037","abstract":"The solubility of carbon dioxide in tholeiitic melt (1921 Kilauea basalt ) was determined under experimental conditions of 1 kbar, 1200°C; 10 and 15 kbar and 1300-1600°C. We examined the solubility at pressure and temperature conditions intermediate to those reported in previous studies, and, in particular, we addressed the effect of temperature on carbon dioxide solubility. Two different carbon sources were used in the experiments, silver oxalate and a mixture of carbonate minerals, to examine the effects of dissolved silver on carbon dioxide solubility. Three analytical methods were employed to measure accurately and precisely the dissolved carbon in the run products: ( 1 ) Fourier transform micro-infrared spectroscopy, ( 2 ) secondary ion mass spectrometry, and ( 3 ) bulk carbon analysis with a Perkin Elmer Elemental Analyzer. The first two methods are micro-beam techniques which allowed for assessment of sample homogeneity. Consistent with previous solubility studies, infrared analyses showed that carbon is dissolved in basaltic melt in the form of carbonate. However, our experimental results differ from the previous solubility study in that we demonstrate carbon dioxide solubility is temperature independent. At 1 kbar and 1200°C, carbon dioxide solubility is 543 ppm; at 10 kbar and 1300, 1400, and 1500°C, carbon dioxide solubility is approximately 0.77 ± .07 wt%; and at 15 kbar and 1400, 1450, 1500, 1550, and 1600°C, the solubility is approximately 1.21 ± .13 wt%. Dissolved silver does not appear to affect the solubility. These results invalidate previous models for carbon dioxide solubility. We have developed a new model which describes the pressure and temperature dependence of carbon dioxide solubility for tholeiitic basalts. Regression of the solubility data for the reaction CO2vapor + O2-melt = CO32-melt gives a heat of solution (ΔH0 at 1 kbar and 1473 K) of 5.20 ± 4.30 kJ/mol and the change in partial molar volume ΔV0[CO32-melt- O2-melt of 23.14 ± 1.03 cm3/mol. Application of this model suggests that fluid-saturated partial melting of the MORB source region cannot be supported. © 1991.","author":[{"dropping-particle":"","family":"Pan","given":"Vivian","non-dropping-particle":"","parse-names":false,"suffix":""},{"dropping-particle":"","family":"Holloway","given":"John R.","non-dropping-particle":"","parse-names":false,"suffix":""},{"dropping-particle":"","family":"Hervig","given":"Richard L.","non-dropping-particle":"","parse-names":false,"suffix":""}],"container-title":"Geochimica et Cosmochimica Acta","id":"ITEM-2","issue":"6","issued":{"date-parts":[["1991","6","1"]]},"page":"1587-1595","publisher":"Pergamon","title":"The pressure and temperature dependence of carbon dioxide solubility in tholeiitic basalt melts","type":"article-journal","volume":"55"},"uris":["http://www.mendeley.com/documents/?uuid=771e7740-053d-34a1-84d6-256c52581af2"]}],"mendeley":{"formattedCitation":"(Dixon et al., 1995; Pan et al., 1991)","manualFormatting":"Dixon et al. (1995) and Pan et al. (1991)","plainTextFormattedCitation":"(Dixon et al., 1995; Pan et al., 1991)","previouslyFormattedCitation":"(Dixon et al., 1995; Pan et al., 1991)"},"properties":{"noteIndex":0},"schema":"https://github.com/citation-style-language/schema/raw/master/csl-citation.json"}</w:instrText>
      </w:r>
      <w:r w:rsidR="0013038B">
        <w:rPr>
          <w:rFonts w:ascii="Times New Roman" w:eastAsiaTheme="minorEastAsia" w:hAnsi="Times New Roman" w:cs="Times New Roman"/>
          <w:iCs/>
        </w:rPr>
        <w:fldChar w:fldCharType="separate"/>
      </w:r>
      <w:r w:rsidR="0013038B" w:rsidRPr="0013038B">
        <w:rPr>
          <w:rFonts w:ascii="Times New Roman" w:eastAsiaTheme="minorEastAsia" w:hAnsi="Times New Roman" w:cs="Times New Roman"/>
          <w:iCs/>
          <w:noProof/>
        </w:rPr>
        <w:t xml:space="preserve">Dixon et al. </w:t>
      </w:r>
      <w:r w:rsidR="0013038B">
        <w:rPr>
          <w:rFonts w:ascii="Times New Roman" w:eastAsiaTheme="minorEastAsia" w:hAnsi="Times New Roman" w:cs="Times New Roman"/>
          <w:iCs/>
          <w:noProof/>
        </w:rPr>
        <w:t>(</w:t>
      </w:r>
      <w:r w:rsidR="0013038B" w:rsidRPr="0013038B">
        <w:rPr>
          <w:rFonts w:ascii="Times New Roman" w:eastAsiaTheme="minorEastAsia" w:hAnsi="Times New Roman" w:cs="Times New Roman"/>
          <w:iCs/>
          <w:noProof/>
        </w:rPr>
        <w:t>1995</w:t>
      </w:r>
      <w:r w:rsidR="0013038B">
        <w:rPr>
          <w:rFonts w:ascii="Times New Roman" w:eastAsiaTheme="minorEastAsia" w:hAnsi="Times New Roman" w:cs="Times New Roman"/>
          <w:iCs/>
          <w:noProof/>
        </w:rPr>
        <w:t>)</w:t>
      </w:r>
      <w:r w:rsidR="0013038B" w:rsidRPr="0013038B">
        <w:rPr>
          <w:rFonts w:ascii="Times New Roman" w:eastAsiaTheme="minorEastAsia" w:hAnsi="Times New Roman" w:cs="Times New Roman"/>
          <w:iCs/>
          <w:noProof/>
        </w:rPr>
        <w:t xml:space="preserve"> </w:t>
      </w:r>
      <w:r w:rsidR="0013038B">
        <w:rPr>
          <w:rFonts w:ascii="Times New Roman" w:eastAsiaTheme="minorEastAsia" w:hAnsi="Times New Roman" w:cs="Times New Roman"/>
          <w:iCs/>
          <w:noProof/>
        </w:rPr>
        <w:t xml:space="preserve">and </w:t>
      </w:r>
      <w:r w:rsidR="0013038B" w:rsidRPr="0013038B">
        <w:rPr>
          <w:rFonts w:ascii="Times New Roman" w:eastAsiaTheme="minorEastAsia" w:hAnsi="Times New Roman" w:cs="Times New Roman"/>
          <w:iCs/>
          <w:noProof/>
        </w:rPr>
        <w:t xml:space="preserve">Pan et al. </w:t>
      </w:r>
      <w:r w:rsidR="0013038B">
        <w:rPr>
          <w:rFonts w:ascii="Times New Roman" w:eastAsiaTheme="minorEastAsia" w:hAnsi="Times New Roman" w:cs="Times New Roman"/>
          <w:iCs/>
          <w:noProof/>
        </w:rPr>
        <w:t>(</w:t>
      </w:r>
      <w:r w:rsidR="0013038B" w:rsidRPr="0013038B">
        <w:rPr>
          <w:rFonts w:ascii="Times New Roman" w:eastAsiaTheme="minorEastAsia" w:hAnsi="Times New Roman" w:cs="Times New Roman"/>
          <w:iCs/>
          <w:noProof/>
        </w:rPr>
        <w:t>1991)</w:t>
      </w:r>
      <w:r w:rsidR="0013038B">
        <w:rPr>
          <w:rFonts w:ascii="Times New Roman" w:eastAsiaTheme="minorEastAsia" w:hAnsi="Times New Roman" w:cs="Times New Roman"/>
          <w:iCs/>
        </w:rPr>
        <w:fldChar w:fldCharType="end"/>
      </w:r>
      <w:r w:rsidR="006840FE">
        <w:rPr>
          <w:rFonts w:ascii="Times New Roman" w:eastAsiaTheme="minorEastAsia" w:hAnsi="Times New Roman" w:cs="Times New Roman"/>
          <w:iCs/>
        </w:rPr>
        <w:t xml:space="preserve"> on Hawaiian tholeiite and MOR basalt compositions at 200–15000 bar and 1200–1600 </w:t>
      </w:r>
      <w:r w:rsidR="00F81B70" w:rsidRPr="00F81B70">
        <w:rPr>
          <w:rFonts w:ascii="Times New Roman" w:eastAsiaTheme="minorEastAsia" w:hAnsi="Times New Roman" w:cs="Times New Roman"/>
          <w:iCs/>
        </w:rPr>
        <w:t>°</w:t>
      </w:r>
      <w:r w:rsidR="006840FE">
        <w:rPr>
          <w:rFonts w:ascii="Times New Roman" w:eastAsiaTheme="minorEastAsia" w:hAnsi="Times New Roman" w:cs="Times New Roman"/>
          <w:iCs/>
        </w:rPr>
        <w:t>C experimental conditions.</w:t>
      </w:r>
      <w:r w:rsidR="00F825B8">
        <w:rPr>
          <w:rFonts w:ascii="Times New Roman" w:eastAsiaTheme="minorEastAsia" w:hAnsi="Times New Roman" w:cs="Times New Roman"/>
          <w:iCs/>
        </w:rPr>
        <w:t xml:space="preserve"> Options for other basaltic compositions</w:t>
      </w:r>
      <w:r w:rsidR="00F81B70">
        <w:rPr>
          <w:rFonts w:ascii="Times New Roman" w:eastAsiaTheme="minorEastAsia" w:hAnsi="Times New Roman" w:cs="Times New Roman"/>
          <w:iCs/>
        </w:rPr>
        <w:t xml:space="preserve"> (i.e., </w:t>
      </w:r>
      <w:r w:rsidR="00B67966" w:rsidRPr="00B67966">
        <w:rPr>
          <w:rFonts w:ascii="Times New Roman" w:eastAsiaTheme="minorEastAsia" w:hAnsi="Times New Roman" w:cs="Times New Roman"/>
          <w:iCs/>
        </w:rPr>
        <w:t>Δ</w:t>
      </w:r>
      <w:r w:rsidR="00B67966" w:rsidRPr="00B016E9">
        <w:rPr>
          <w:rFonts w:ascii="Times New Roman" w:eastAsiaTheme="minorEastAsia" w:hAnsi="Times New Roman" w:cs="Times New Roman"/>
          <w:i/>
        </w:rPr>
        <w:t>V</w:t>
      </w:r>
      <w:r w:rsidR="00B67966">
        <w:rPr>
          <w:rFonts w:ascii="Times New Roman" w:eastAsiaTheme="minorEastAsia" w:hAnsi="Times New Roman" w:cs="Times New Roman"/>
        </w:rPr>
        <w:t xml:space="preserve"> </w:t>
      </w:r>
      <w:r w:rsidR="00F81B70">
        <w:rPr>
          <w:rFonts w:ascii="Times New Roman" w:eastAsiaTheme="minorEastAsia" w:hAnsi="Times New Roman" w:cs="Times New Roman"/>
        </w:rPr>
        <w:t>and</w:t>
      </w:r>
      <w:r w:rsidR="00B67966">
        <w:rPr>
          <w:rFonts w:ascii="Times New Roman" w:eastAsiaTheme="minorEastAsia" w:hAnsi="Times New Roman" w:cs="Times New Roman"/>
        </w:rPr>
        <w:t xml:space="preserve"> ln</w:t>
      </w:r>
      <w:r w:rsidR="00B67966" w:rsidRPr="00B67966">
        <w:rPr>
          <w:rFonts w:ascii="Times New Roman" w:eastAsiaTheme="minorEastAsia" w:hAnsi="Times New Roman" w:cs="Times New Roman"/>
          <w:i/>
          <w:iCs/>
        </w:rPr>
        <w:t>K</w:t>
      </w:r>
      <w:r w:rsidR="00B67966" w:rsidRPr="00B67966">
        <w:rPr>
          <w:rFonts w:ascii="Times New Roman" w:eastAsiaTheme="minorEastAsia" w:hAnsi="Times New Roman" w:cs="Times New Roman"/>
          <w:vertAlign w:val="subscript"/>
        </w:rPr>
        <w:t>0</w:t>
      </w:r>
      <w:r w:rsidR="00F81B70">
        <w:rPr>
          <w:rFonts w:ascii="Times New Roman" w:eastAsiaTheme="minorEastAsia" w:hAnsi="Times New Roman" w:cs="Times New Roman"/>
          <w:iCs/>
        </w:rPr>
        <w:t>)</w:t>
      </w:r>
      <w:r w:rsidR="00F825B8">
        <w:rPr>
          <w:rFonts w:ascii="Times New Roman" w:eastAsiaTheme="minorEastAsia" w:hAnsi="Times New Roman" w:cs="Times New Roman"/>
          <w:iCs/>
        </w:rPr>
        <w:t xml:space="preserve"> are compiled from Table 2 of </w:t>
      </w:r>
      <w:r w:rsidR="00F81B70">
        <w:rPr>
          <w:rFonts w:ascii="Times New Roman" w:eastAsiaTheme="minorEastAsia" w:hAnsi="Times New Roman" w:cs="Times New Roman"/>
          <w:iCs/>
        </w:rPr>
        <w:fldChar w:fldCharType="begin" w:fldLock="1"/>
      </w:r>
      <w:r w:rsidR="00F81B70">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sidR="00F81B70">
        <w:rPr>
          <w:rFonts w:ascii="Times New Roman" w:eastAsiaTheme="minorEastAsia" w:hAnsi="Times New Roman" w:cs="Times New Roman"/>
          <w:iCs/>
        </w:rPr>
        <w:fldChar w:fldCharType="separate"/>
      </w:r>
      <w:r w:rsidR="00F81B70" w:rsidRPr="00F81B70">
        <w:rPr>
          <w:rFonts w:ascii="Times New Roman" w:eastAsiaTheme="minorEastAsia" w:hAnsi="Times New Roman" w:cs="Times New Roman"/>
          <w:iCs/>
          <w:noProof/>
        </w:rPr>
        <w:t xml:space="preserve">Allison et al. </w:t>
      </w:r>
      <w:r w:rsidR="00F81B70">
        <w:rPr>
          <w:rFonts w:ascii="Times New Roman" w:eastAsiaTheme="minorEastAsia" w:hAnsi="Times New Roman" w:cs="Times New Roman"/>
          <w:iCs/>
          <w:noProof/>
        </w:rPr>
        <w:t>(</w:t>
      </w:r>
      <w:r w:rsidR="00F81B70" w:rsidRPr="00F81B70">
        <w:rPr>
          <w:rFonts w:ascii="Times New Roman" w:eastAsiaTheme="minorEastAsia" w:hAnsi="Times New Roman" w:cs="Times New Roman"/>
          <w:iCs/>
          <w:noProof/>
        </w:rPr>
        <w:t>2022)</w:t>
      </w:r>
      <w:r w:rsidR="00F81B70">
        <w:rPr>
          <w:rFonts w:ascii="Times New Roman" w:eastAsiaTheme="minorEastAsia" w:hAnsi="Times New Roman" w:cs="Times New Roman"/>
          <w:iCs/>
        </w:rPr>
        <w:fldChar w:fldCharType="end"/>
      </w:r>
      <w:r w:rsidR="00F825B8">
        <w:rPr>
          <w:rFonts w:ascii="Times New Roman" w:eastAsiaTheme="minorEastAsia" w:hAnsi="Times New Roman" w:cs="Times New Roman"/>
          <w:iCs/>
        </w:rPr>
        <w:t xml:space="preserve"> and shown in</w:t>
      </w:r>
      <w:r w:rsidR="00F81B70">
        <w:rPr>
          <w:rFonts w:ascii="Times New Roman" w:eastAsiaTheme="minorEastAsia" w:hAnsi="Times New Roman" w:cs="Times New Roman"/>
          <w:iCs/>
        </w:rPr>
        <w:t xml:space="preserve"> </w:t>
      </w:r>
      <w:r w:rsidR="00F81B70" w:rsidRPr="00F81B70">
        <w:rPr>
          <w:rFonts w:ascii="Times New Roman" w:eastAsiaTheme="minorEastAsia" w:hAnsi="Times New Roman" w:cs="Times New Roman"/>
          <w:iCs/>
        </w:rPr>
        <w:fldChar w:fldCharType="begin"/>
      </w:r>
      <w:r w:rsidR="00F81B70" w:rsidRPr="00F81B70">
        <w:rPr>
          <w:rFonts w:ascii="Times New Roman" w:eastAsiaTheme="minorEastAsia" w:hAnsi="Times New Roman" w:cs="Times New Roman"/>
          <w:iCs/>
        </w:rPr>
        <w:instrText xml:space="preserve"> REF _Ref127348576 \h </w:instrText>
      </w:r>
      <w:r w:rsidR="00F81B70">
        <w:rPr>
          <w:rFonts w:ascii="Times New Roman" w:eastAsiaTheme="minorEastAsia" w:hAnsi="Times New Roman" w:cs="Times New Roman"/>
          <w:iCs/>
        </w:rPr>
        <w:instrText xml:space="preserve"> \* MERGEFORMAT </w:instrText>
      </w:r>
      <w:r w:rsidR="00F81B70" w:rsidRPr="00F81B70">
        <w:rPr>
          <w:rFonts w:ascii="Times New Roman" w:eastAsiaTheme="minorEastAsia" w:hAnsi="Times New Roman" w:cs="Times New Roman"/>
          <w:iCs/>
        </w:rPr>
      </w:r>
      <w:r w:rsidR="00F81B70" w:rsidRPr="00F81B70">
        <w:rPr>
          <w:rFonts w:ascii="Times New Roman" w:eastAsiaTheme="minorEastAsia" w:hAnsi="Times New Roman" w:cs="Times New Roman"/>
          <w:iCs/>
        </w:rPr>
        <w:fldChar w:fldCharType="separate"/>
      </w:r>
      <w:r w:rsidR="00F81B70" w:rsidRPr="00F81B70">
        <w:rPr>
          <w:rFonts w:ascii="Times New Roman" w:eastAsiaTheme="minorEastAsia" w:hAnsi="Times New Roman" w:cs="Times New Roman"/>
          <w:color w:val="000000" w:themeColor="text1"/>
        </w:rPr>
        <w:t xml:space="preserve">Table </w:t>
      </w:r>
      <w:r w:rsidR="00F81B70" w:rsidRPr="00F81B70">
        <w:rPr>
          <w:rFonts w:ascii="Times New Roman" w:hAnsi="Times New Roman" w:cs="Times New Roman"/>
          <w:color w:val="000000" w:themeColor="text1"/>
        </w:rPr>
        <w:t>S</w:t>
      </w:r>
      <w:r w:rsidR="00F81B70" w:rsidRPr="00F81B70">
        <w:rPr>
          <w:rFonts w:ascii="Times New Roman" w:hAnsi="Times New Roman" w:cs="Times New Roman"/>
          <w:noProof/>
          <w:color w:val="000000" w:themeColor="text1"/>
        </w:rPr>
        <w:t>3</w:t>
      </w:r>
      <w:r w:rsidR="00F81B70" w:rsidRPr="00F81B70">
        <w:rPr>
          <w:rFonts w:ascii="Times New Roman" w:eastAsiaTheme="minorEastAsia" w:hAnsi="Times New Roman" w:cs="Times New Roman"/>
          <w:iCs/>
        </w:rPr>
        <w:fldChar w:fldCharType="end"/>
      </w:r>
      <w:r w:rsidR="00F825B8">
        <w:rPr>
          <w:rFonts w:ascii="Times New Roman" w:eastAsiaTheme="minorEastAsia" w:hAnsi="Times New Roman" w:cs="Times New Roman"/>
          <w:iCs/>
        </w:rPr>
        <w:t>.</w:t>
      </w:r>
    </w:p>
    <w:p w14:paraId="16DE9B49" w14:textId="496130BC" w:rsidR="00736793" w:rsidRPr="00F81B70" w:rsidRDefault="00736793" w:rsidP="005B7A37">
      <w:pPr>
        <w:pStyle w:val="Caption"/>
        <w:keepNext/>
        <w:spacing w:after="0"/>
        <w:ind w:firstLine="0"/>
        <w:rPr>
          <w:color w:val="000000" w:themeColor="text1"/>
          <w:sz w:val="24"/>
          <w:szCs w:val="24"/>
        </w:rPr>
      </w:pPr>
      <w:bookmarkStart w:id="6" w:name="_Ref127348576"/>
      <w:r w:rsidRPr="00F81B70">
        <w:rPr>
          <w:color w:val="000000" w:themeColor="text1"/>
          <w:sz w:val="24"/>
          <w:szCs w:val="24"/>
        </w:rPr>
        <w:t>Table S</w:t>
      </w:r>
      <w:r w:rsidRPr="00F81B70">
        <w:rPr>
          <w:color w:val="000000" w:themeColor="text1"/>
          <w:sz w:val="24"/>
          <w:szCs w:val="24"/>
        </w:rPr>
        <w:fldChar w:fldCharType="begin"/>
      </w:r>
      <w:r w:rsidRPr="00F81B70">
        <w:rPr>
          <w:color w:val="000000" w:themeColor="text1"/>
          <w:sz w:val="24"/>
          <w:szCs w:val="24"/>
        </w:rPr>
        <w:instrText xml:space="preserve"> SEQ Table \* ARABIC </w:instrText>
      </w:r>
      <w:r w:rsidRPr="00F81B70">
        <w:rPr>
          <w:color w:val="000000" w:themeColor="text1"/>
          <w:sz w:val="24"/>
          <w:szCs w:val="24"/>
        </w:rPr>
        <w:fldChar w:fldCharType="separate"/>
      </w:r>
      <w:r w:rsidR="00B9491E">
        <w:rPr>
          <w:noProof/>
          <w:color w:val="000000" w:themeColor="text1"/>
          <w:sz w:val="24"/>
          <w:szCs w:val="24"/>
        </w:rPr>
        <w:t>3</w:t>
      </w:r>
      <w:r w:rsidRPr="00F81B70">
        <w:rPr>
          <w:color w:val="000000" w:themeColor="text1"/>
          <w:sz w:val="24"/>
          <w:szCs w:val="24"/>
        </w:rPr>
        <w:fldChar w:fldCharType="end"/>
      </w:r>
      <w:bookmarkEnd w:id="6"/>
      <w:r w:rsidRPr="00F81B70">
        <w:rPr>
          <w:i w:val="0"/>
          <w:iCs w:val="0"/>
          <w:color w:val="000000" w:themeColor="text1"/>
          <w:sz w:val="24"/>
          <w:szCs w:val="24"/>
        </w:rPr>
        <w:t xml:space="preserve"> Thermodynamic parameters to calculate carbonate </w:t>
      </w:r>
      <w:r w:rsidR="00F662AC">
        <w:rPr>
          <w:i w:val="0"/>
          <w:iCs w:val="0"/>
          <w:color w:val="000000" w:themeColor="text1"/>
          <w:sz w:val="24"/>
          <w:szCs w:val="24"/>
        </w:rPr>
        <w:t>solubility</w:t>
      </w:r>
      <w:r w:rsidRPr="00F81B70">
        <w:rPr>
          <w:i w:val="0"/>
          <w:iCs w:val="0"/>
          <w:color w:val="000000" w:themeColor="text1"/>
          <w:sz w:val="24"/>
          <w:szCs w:val="24"/>
        </w:rPr>
        <w:t xml:space="preserve"> for different basaltic melt compositions.</w:t>
      </w:r>
    </w:p>
    <w:tbl>
      <w:tblPr>
        <w:tblStyle w:val="TableGrid"/>
        <w:tblW w:w="0" w:type="auto"/>
        <w:tblLook w:val="04A0" w:firstRow="1" w:lastRow="0" w:firstColumn="1" w:lastColumn="0" w:noHBand="0" w:noVBand="1"/>
      </w:tblPr>
      <w:tblGrid>
        <w:gridCol w:w="2830"/>
        <w:gridCol w:w="1966"/>
        <w:gridCol w:w="1966"/>
        <w:gridCol w:w="2254"/>
      </w:tblGrid>
      <w:tr w:rsidR="00F825B8" w14:paraId="18391A51" w14:textId="77777777" w:rsidTr="00F4448F">
        <w:tc>
          <w:tcPr>
            <w:tcW w:w="2830" w:type="dxa"/>
            <w:tcBorders>
              <w:bottom w:val="single" w:sz="4" w:space="0" w:color="auto"/>
            </w:tcBorders>
          </w:tcPr>
          <w:p w14:paraId="2CAD5240" w14:textId="0FEF7B4F" w:rsidR="00F825B8" w:rsidRDefault="00F825B8" w:rsidP="005B7A37">
            <w:pPr>
              <w:jc w:val="center"/>
              <w:rPr>
                <w:rFonts w:ascii="Times New Roman" w:eastAsiaTheme="minorEastAsia" w:hAnsi="Times New Roman" w:cs="Times New Roman"/>
                <w:iCs/>
              </w:rPr>
            </w:pPr>
            <w:r>
              <w:rPr>
                <w:rFonts w:ascii="Times New Roman" w:eastAsiaTheme="minorEastAsia" w:hAnsi="Times New Roman" w:cs="Times New Roman"/>
                <w:iCs/>
              </w:rPr>
              <w:t>Composition</w:t>
            </w:r>
          </w:p>
        </w:tc>
        <w:tc>
          <w:tcPr>
            <w:tcW w:w="1966" w:type="dxa"/>
            <w:tcBorders>
              <w:bottom w:val="single" w:sz="4" w:space="0" w:color="auto"/>
            </w:tcBorders>
          </w:tcPr>
          <w:p w14:paraId="10393ACB" w14:textId="1EC96ACF" w:rsidR="00F825B8" w:rsidRDefault="00B67966" w:rsidP="005B7A37">
            <w:pPr>
              <w:jc w:val="center"/>
              <w:rPr>
                <w:rFonts w:ascii="Times New Roman" w:eastAsiaTheme="minorEastAsia" w:hAnsi="Times New Roman" w:cs="Times New Roman"/>
                <w:iCs/>
              </w:rPr>
            </w:pPr>
            <w:r w:rsidRPr="00B67966">
              <w:rPr>
                <w:rFonts w:ascii="Times New Roman" w:eastAsiaTheme="minorEastAsia" w:hAnsi="Times New Roman" w:cs="Times New Roman"/>
                <w:iCs/>
              </w:rPr>
              <w:t>Δ</w:t>
            </w:r>
            <w:r w:rsidRPr="00B016E9">
              <w:rPr>
                <w:rFonts w:ascii="Times New Roman" w:eastAsiaTheme="minorEastAsia" w:hAnsi="Times New Roman" w:cs="Times New Roman"/>
                <w:i/>
              </w:rPr>
              <w:t>V</w:t>
            </w:r>
            <w:r w:rsidR="00F825B8">
              <w:rPr>
                <w:rFonts w:ascii="Times New Roman" w:eastAsiaTheme="minorEastAsia" w:hAnsi="Times New Roman" w:cs="Times New Roman"/>
              </w:rPr>
              <w:t xml:space="preserve"> (</w:t>
            </w:r>
            <w:r w:rsidR="00F825B8">
              <w:rPr>
                <w:rFonts w:ascii="Times New Roman" w:eastAsiaTheme="minorEastAsia" w:hAnsi="Times New Roman" w:cs="Times New Roman"/>
                <w:iCs/>
              </w:rPr>
              <w:t>cm</w:t>
            </w:r>
            <w:r w:rsidR="00F825B8" w:rsidRPr="0010091A">
              <w:rPr>
                <w:rFonts w:ascii="Times New Roman" w:eastAsiaTheme="minorEastAsia" w:hAnsi="Times New Roman" w:cs="Times New Roman"/>
                <w:iCs/>
                <w:vertAlign w:val="superscript"/>
              </w:rPr>
              <w:t>3</w:t>
            </w:r>
            <w:r w:rsidR="00F825B8">
              <w:rPr>
                <w:rFonts w:ascii="Times New Roman" w:eastAsiaTheme="minorEastAsia" w:hAnsi="Times New Roman" w:cs="Times New Roman"/>
                <w:iCs/>
              </w:rPr>
              <w:t>/mol)</w:t>
            </w:r>
          </w:p>
        </w:tc>
        <w:tc>
          <w:tcPr>
            <w:tcW w:w="1966" w:type="dxa"/>
            <w:tcBorders>
              <w:bottom w:val="single" w:sz="4" w:space="0" w:color="auto"/>
            </w:tcBorders>
          </w:tcPr>
          <w:p w14:paraId="7E91338B" w14:textId="3B195E69" w:rsidR="00F825B8" w:rsidRDefault="00B67966" w:rsidP="005B7A37">
            <w:pPr>
              <w:jc w:val="center"/>
              <w:rPr>
                <w:rFonts w:ascii="Times New Roman" w:eastAsiaTheme="minorEastAsia" w:hAnsi="Times New Roman" w:cs="Times New Roman"/>
                <w:iCs/>
              </w:rPr>
            </w:pPr>
            <w:r>
              <w:rPr>
                <w:rFonts w:ascii="Times New Roman" w:eastAsiaTheme="minorEastAsia" w:hAnsi="Times New Roman" w:cs="Times New Roman"/>
                <w:iCs/>
              </w:rPr>
              <w:t>ln</w:t>
            </w:r>
            <w:r w:rsidRPr="00B67966">
              <w:rPr>
                <w:rFonts w:ascii="Times New Roman" w:eastAsiaTheme="minorEastAsia" w:hAnsi="Times New Roman" w:cs="Times New Roman"/>
                <w:i/>
              </w:rPr>
              <w:t>K</w:t>
            </w:r>
            <w:r w:rsidRPr="00B67966">
              <w:rPr>
                <w:rFonts w:ascii="Times New Roman" w:eastAsiaTheme="minorEastAsia" w:hAnsi="Times New Roman" w:cs="Times New Roman"/>
                <w:iCs/>
                <w:vertAlign w:val="subscript"/>
              </w:rPr>
              <w:t>0</w:t>
            </w:r>
          </w:p>
        </w:tc>
        <w:tc>
          <w:tcPr>
            <w:tcW w:w="2254" w:type="dxa"/>
            <w:tcBorders>
              <w:bottom w:val="single" w:sz="4" w:space="0" w:color="auto"/>
            </w:tcBorders>
          </w:tcPr>
          <w:p w14:paraId="2373455F" w14:textId="690FED9A" w:rsidR="00F825B8" w:rsidRDefault="00F825B8" w:rsidP="005B7A37">
            <w:pPr>
              <w:jc w:val="center"/>
              <w:rPr>
                <w:rFonts w:ascii="Times New Roman" w:eastAsiaTheme="minorEastAsia" w:hAnsi="Times New Roman" w:cs="Times New Roman"/>
                <w:iCs/>
              </w:rPr>
            </w:pPr>
            <w:r>
              <w:rPr>
                <w:rFonts w:ascii="Times New Roman" w:eastAsiaTheme="minorEastAsia" w:hAnsi="Times New Roman" w:cs="Times New Roman"/>
                <w:iCs/>
              </w:rPr>
              <w:t>Reference</w:t>
            </w:r>
          </w:p>
        </w:tc>
      </w:tr>
      <w:tr w:rsidR="00F825B8" w14:paraId="1604BB8C" w14:textId="77777777" w:rsidTr="00F4448F">
        <w:tc>
          <w:tcPr>
            <w:tcW w:w="2830" w:type="dxa"/>
            <w:tcBorders>
              <w:bottom w:val="nil"/>
            </w:tcBorders>
          </w:tcPr>
          <w:p w14:paraId="67FB1B4F" w14:textId="2ED5A155" w:rsidR="00F825B8" w:rsidRDefault="00F825B8" w:rsidP="005B7A37">
            <w:pPr>
              <w:jc w:val="both"/>
              <w:rPr>
                <w:rFonts w:ascii="Times New Roman" w:eastAsiaTheme="minorEastAsia" w:hAnsi="Times New Roman" w:cs="Times New Roman"/>
                <w:iCs/>
              </w:rPr>
            </w:pPr>
            <w:r>
              <w:rPr>
                <w:rFonts w:ascii="Times New Roman" w:eastAsiaTheme="minorEastAsia" w:hAnsi="Times New Roman" w:cs="Times New Roman"/>
                <w:iCs/>
              </w:rPr>
              <w:t>Hawaiian tholeiite/MORB</w:t>
            </w:r>
          </w:p>
        </w:tc>
        <w:tc>
          <w:tcPr>
            <w:tcW w:w="1966" w:type="dxa"/>
            <w:tcBorders>
              <w:bottom w:val="nil"/>
            </w:tcBorders>
          </w:tcPr>
          <w:p w14:paraId="27538649" w14:textId="66805537" w:rsidR="00F825B8" w:rsidRDefault="00F825B8" w:rsidP="005B7A37">
            <w:pPr>
              <w:jc w:val="right"/>
              <w:rPr>
                <w:rFonts w:ascii="Times New Roman" w:eastAsia="Times New Roman" w:hAnsi="Times New Roman" w:cs="Times New Roman"/>
              </w:rPr>
            </w:pPr>
            <w:r>
              <w:rPr>
                <w:rFonts w:ascii="Times New Roman" w:eastAsia="Times New Roman" w:hAnsi="Times New Roman" w:cs="Times New Roman"/>
              </w:rPr>
              <w:t>23.0</w:t>
            </w:r>
          </w:p>
        </w:tc>
        <w:tc>
          <w:tcPr>
            <w:tcW w:w="1966" w:type="dxa"/>
            <w:tcBorders>
              <w:bottom w:val="nil"/>
            </w:tcBorders>
          </w:tcPr>
          <w:p w14:paraId="4A53572A" w14:textId="5755798E" w:rsidR="00F825B8" w:rsidRDefault="00736793" w:rsidP="005B7A37">
            <w:pPr>
              <w:jc w:val="right"/>
              <w:rPr>
                <w:rFonts w:ascii="Times New Roman" w:eastAsia="Times New Roman" w:hAnsi="Times New Roman" w:cs="Times New Roman"/>
                <w:iCs/>
              </w:rPr>
            </w:pPr>
            <w:r>
              <w:rPr>
                <w:rFonts w:ascii="Times New Roman" w:eastAsia="Times New Roman" w:hAnsi="Times New Roman" w:cs="Times New Roman"/>
                <w:iCs/>
              </w:rPr>
              <w:t>-14.78</w:t>
            </w:r>
          </w:p>
        </w:tc>
        <w:tc>
          <w:tcPr>
            <w:tcW w:w="2254" w:type="dxa"/>
            <w:tcBorders>
              <w:bottom w:val="nil"/>
            </w:tcBorders>
          </w:tcPr>
          <w:p w14:paraId="7A43CC62" w14:textId="0FA045E2" w:rsidR="00F825B8" w:rsidRDefault="00F825B8" w:rsidP="005B7A37">
            <w:pPr>
              <w:jc w:val="both"/>
              <w:rPr>
                <w:rFonts w:ascii="Times New Roman" w:eastAsiaTheme="minorEastAsia" w:hAnsi="Times New Roman" w:cs="Times New Roman"/>
                <w:iCs/>
              </w:rPr>
            </w:pPr>
            <w:r>
              <w:rPr>
                <w:rFonts w:ascii="Times New Roman" w:hAnsi="Times New Roman"/>
              </w:rPr>
              <w:fldChar w:fldCharType="begin" w:fldLock="1"/>
            </w:r>
            <w:r>
              <w:rPr>
                <w:rFonts w:ascii="Times New Roman" w:hAnsi="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Pr>
                <w:rFonts w:ascii="Cambria Math" w:hAnsi="Cambria Math" w:cs="Cambria Math"/>
              </w:rPr>
              <w:instrText>⋅</w:instrText>
            </w:r>
            <w:r>
              <w:rPr>
                <w:rFonts w:ascii="Times New Roman" w:hAnsi="Times New Roman"/>
              </w:rPr>
              <w:instrText>67±0</w:instrText>
            </w:r>
            <w:r>
              <w:rPr>
                <w:rFonts w:ascii="Cambria Math" w:hAnsi="Cambria Math" w:cs="Cambria Math"/>
              </w:rPr>
              <w:instrText>⋅</w:instrText>
            </w:r>
            <w:r>
              <w:rPr>
                <w:rFonts w:ascii="Times New Roman" w:hAnsi="Times New Roman"/>
              </w:rPr>
              <w:instrText>03, 0</w:instrText>
            </w:r>
            <w:r>
              <w:rPr>
                <w:rFonts w:ascii="Cambria Math" w:hAnsi="Cambria Math" w:cs="Cambria Math"/>
              </w:rPr>
              <w:instrText>⋅</w:instrText>
            </w:r>
            <w:r>
              <w:rPr>
                <w:rFonts w:ascii="Times New Roman" w:hAnsi="Times New Roman"/>
              </w:rPr>
              <w:instrText>62±0</w:instrText>
            </w:r>
            <w:r>
              <w:rPr>
                <w:rFonts w:ascii="Cambria Math" w:hAnsi="Cambria Math" w:cs="Cambria Math"/>
              </w:rPr>
              <w:instrText>⋅</w:instrText>
            </w:r>
            <w:r>
              <w:rPr>
                <w:rFonts w:ascii="Times New Roman" w:hAnsi="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Pr>
                <w:rFonts w:ascii="Cambria Math" w:hAnsi="Cambria Math" w:cs="Cambria Math"/>
              </w:rPr>
              <w:instrText>⋅</w:instrText>
            </w:r>
            <w:r>
              <w:rPr>
                <w:rFonts w:ascii="Times New Roman" w:hAnsi="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Pr>
                <w:rFonts w:ascii="Cambria Math" w:hAnsi="Cambria Math" w:cs="Cambria Math"/>
              </w:rPr>
              <w:instrText>⋅</w:instrText>
            </w:r>
            <w:r>
              <w:rPr>
                <w:rFonts w:ascii="Times New Roman" w:hAnsi="Times New Roman"/>
              </w:rPr>
              <w:instrText xml:space="preserve">5 p.p.m. Our revised determination of CO2 solubility is </w:instrText>
            </w:r>
            <w:r>
              <w:rPr>
                <w:rFonts w:ascii="Cambria Math" w:hAnsi="Cambria Math" w:cs="Cambria Math"/>
              </w:rPr>
              <w:instrText>∼</w:instrText>
            </w:r>
            <w:r>
              <w:rPr>
                <w:rFonts w:ascii="Times New Roman" w:hAnsi="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models","type":"article-journal","volume":"36"},"uris":["http://www.mendeley.com/documents/?uuid=2e9900bf-0994-3bf3-bbcb-76f8502edb39"]}],"mendeley":{"formattedCitation":"(Dixon et al., 1995)","manualFormatting":"Dixon et al. (1995)","plainTextFormattedCitation":"(Dixon et al., 1995)","previouslyFormattedCitation":"(Dixon et al., 1995)"},"properties":{"noteIndex":0},"schema":"https://github.com/citation-style-language/schema/raw/master/csl-citation.json"}</w:instrText>
            </w:r>
            <w:r>
              <w:rPr>
                <w:rFonts w:ascii="Times New Roman" w:hAnsi="Times New Roman"/>
              </w:rPr>
              <w:fldChar w:fldCharType="separate"/>
            </w:r>
            <w:r w:rsidRPr="000F0BD4">
              <w:rPr>
                <w:rFonts w:ascii="Times New Roman" w:hAnsi="Times New Roman"/>
                <w:noProof/>
              </w:rPr>
              <w:t xml:space="preserve">Dixon et al. </w:t>
            </w:r>
            <w:r>
              <w:rPr>
                <w:rFonts w:ascii="Times New Roman" w:hAnsi="Times New Roman"/>
                <w:noProof/>
              </w:rPr>
              <w:t>(</w:t>
            </w:r>
            <w:r w:rsidRPr="000F0BD4">
              <w:rPr>
                <w:rFonts w:ascii="Times New Roman" w:hAnsi="Times New Roman"/>
                <w:noProof/>
              </w:rPr>
              <w:t>1995)</w:t>
            </w:r>
            <w:r>
              <w:rPr>
                <w:rFonts w:ascii="Times New Roman" w:hAnsi="Times New Roman"/>
              </w:rPr>
              <w:fldChar w:fldCharType="end"/>
            </w:r>
          </w:p>
        </w:tc>
      </w:tr>
      <w:tr w:rsidR="00F825B8" w14:paraId="303C7DE0" w14:textId="77777777" w:rsidTr="00F4448F">
        <w:tc>
          <w:tcPr>
            <w:tcW w:w="2830" w:type="dxa"/>
            <w:tcBorders>
              <w:top w:val="nil"/>
              <w:bottom w:val="nil"/>
            </w:tcBorders>
          </w:tcPr>
          <w:p w14:paraId="4109BC08" w14:textId="1A6E9B61" w:rsidR="00F825B8" w:rsidRDefault="00F825B8" w:rsidP="00F825B8">
            <w:pPr>
              <w:jc w:val="both"/>
              <w:rPr>
                <w:rFonts w:ascii="Times New Roman" w:eastAsiaTheme="minorEastAsia" w:hAnsi="Times New Roman" w:cs="Times New Roman"/>
                <w:iCs/>
              </w:rPr>
            </w:pPr>
            <w:r>
              <w:rPr>
                <w:rFonts w:ascii="Times New Roman" w:eastAsiaTheme="minorEastAsia" w:hAnsi="Times New Roman" w:cs="Times New Roman"/>
                <w:iCs/>
              </w:rPr>
              <w:t>Sunset Crater</w:t>
            </w:r>
          </w:p>
        </w:tc>
        <w:tc>
          <w:tcPr>
            <w:tcW w:w="1966" w:type="dxa"/>
            <w:tcBorders>
              <w:top w:val="nil"/>
              <w:bottom w:val="nil"/>
            </w:tcBorders>
          </w:tcPr>
          <w:p w14:paraId="2D7F4C62" w14:textId="43A9630C" w:rsidR="00F825B8" w:rsidRDefault="00F825B8" w:rsidP="00F825B8">
            <w:pPr>
              <w:jc w:val="right"/>
              <w:rPr>
                <w:rFonts w:ascii="Times New Roman" w:eastAsia="Times New Roman" w:hAnsi="Times New Roman" w:cs="Times New Roman"/>
              </w:rPr>
            </w:pPr>
            <w:r>
              <w:rPr>
                <w:rFonts w:ascii="Times New Roman" w:eastAsia="Times New Roman" w:hAnsi="Times New Roman" w:cs="Times New Roman"/>
              </w:rPr>
              <w:t>16.40</w:t>
            </w:r>
          </w:p>
        </w:tc>
        <w:tc>
          <w:tcPr>
            <w:tcW w:w="1966" w:type="dxa"/>
            <w:tcBorders>
              <w:top w:val="nil"/>
              <w:bottom w:val="nil"/>
            </w:tcBorders>
          </w:tcPr>
          <w:p w14:paraId="07A21E67" w14:textId="3FC3520A" w:rsidR="00F825B8"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-14.67</w:t>
            </w:r>
          </w:p>
        </w:tc>
        <w:tc>
          <w:tcPr>
            <w:tcW w:w="2254" w:type="dxa"/>
            <w:tcBorders>
              <w:top w:val="nil"/>
              <w:bottom w:val="nil"/>
            </w:tcBorders>
          </w:tcPr>
          <w:p w14:paraId="7174FDE0" w14:textId="422C19DA" w:rsidR="00F825B8" w:rsidRDefault="00F81B70" w:rsidP="00F825B8">
            <w:pPr>
              <w:jc w:val="both"/>
              <w:rPr>
                <w:rFonts w:ascii="Times New Roman" w:hAnsi="Times New Roman"/>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1827DE">
              <w:rPr>
                <w:rFonts w:ascii="Times New Roman" w:hAnsi="Times New Roman"/>
                <w:noProof/>
              </w:rPr>
              <w:t>Allison et al. (2019)</w:t>
            </w:r>
            <w:r w:rsidRPr="00F81B70">
              <w:rPr>
                <w:rFonts w:ascii="Times New Roman" w:hAnsi="Times New Roman"/>
              </w:rPr>
              <w:fldChar w:fldCharType="end"/>
            </w:r>
          </w:p>
        </w:tc>
      </w:tr>
      <w:tr w:rsidR="00736793" w14:paraId="06C80C85" w14:textId="77777777" w:rsidTr="00F4448F">
        <w:tc>
          <w:tcPr>
            <w:tcW w:w="2830" w:type="dxa"/>
            <w:tcBorders>
              <w:top w:val="nil"/>
              <w:bottom w:val="nil"/>
            </w:tcBorders>
          </w:tcPr>
          <w:p w14:paraId="359940EE" w14:textId="2B881518"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SFVF</w:t>
            </w:r>
          </w:p>
        </w:tc>
        <w:tc>
          <w:tcPr>
            <w:tcW w:w="1966" w:type="dxa"/>
            <w:tcBorders>
              <w:top w:val="nil"/>
              <w:bottom w:val="nil"/>
            </w:tcBorders>
          </w:tcPr>
          <w:p w14:paraId="535CB9BC" w14:textId="1BE3AD50"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15.02</w:t>
            </w:r>
          </w:p>
        </w:tc>
        <w:tc>
          <w:tcPr>
            <w:tcW w:w="1966" w:type="dxa"/>
            <w:tcBorders>
              <w:top w:val="nil"/>
              <w:bottom w:val="nil"/>
            </w:tcBorders>
          </w:tcPr>
          <w:p w14:paraId="274E41E2" w14:textId="41B4C3F1"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-14.87</w:t>
            </w:r>
          </w:p>
        </w:tc>
        <w:tc>
          <w:tcPr>
            <w:tcW w:w="2254" w:type="dxa"/>
            <w:tcBorders>
              <w:top w:val="nil"/>
              <w:bottom w:val="nil"/>
            </w:tcBorders>
          </w:tcPr>
          <w:p w14:paraId="004233C0" w14:textId="24B09051" w:rsidR="00736793" w:rsidRPr="00736793" w:rsidRDefault="00F81B70" w:rsidP="00F825B8">
            <w:pPr>
              <w:jc w:val="both"/>
              <w:rPr>
                <w:rFonts w:ascii="Times New Roman" w:hAnsi="Times New Roman"/>
                <w:highlight w:val="yellow"/>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B016E9">
              <w:rPr>
                <w:rFonts w:ascii="Times New Roman" w:hAnsi="Times New Roman"/>
                <w:noProof/>
              </w:rPr>
              <w:t>Allison et al. (2019)</w:t>
            </w:r>
            <w:r w:rsidRPr="00F81B70">
              <w:rPr>
                <w:rFonts w:ascii="Times New Roman" w:hAnsi="Times New Roman"/>
              </w:rPr>
              <w:fldChar w:fldCharType="end"/>
            </w:r>
          </w:p>
        </w:tc>
      </w:tr>
      <w:tr w:rsidR="00736793" w14:paraId="3DF2CC8E" w14:textId="77777777" w:rsidTr="00F4448F">
        <w:tc>
          <w:tcPr>
            <w:tcW w:w="2830" w:type="dxa"/>
            <w:tcBorders>
              <w:top w:val="nil"/>
              <w:bottom w:val="nil"/>
            </w:tcBorders>
          </w:tcPr>
          <w:p w14:paraId="0CAD9875" w14:textId="7546964F"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Erebus</w:t>
            </w:r>
          </w:p>
        </w:tc>
        <w:tc>
          <w:tcPr>
            <w:tcW w:w="1966" w:type="dxa"/>
            <w:tcBorders>
              <w:top w:val="nil"/>
              <w:bottom w:val="nil"/>
            </w:tcBorders>
          </w:tcPr>
          <w:p w14:paraId="7ABE81B0" w14:textId="1FBC3CAA"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15.83</w:t>
            </w:r>
          </w:p>
        </w:tc>
        <w:tc>
          <w:tcPr>
            <w:tcW w:w="1966" w:type="dxa"/>
            <w:tcBorders>
              <w:top w:val="nil"/>
              <w:bottom w:val="nil"/>
            </w:tcBorders>
          </w:tcPr>
          <w:p w14:paraId="79823E30" w14:textId="483D748F"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-14.65</w:t>
            </w:r>
          </w:p>
        </w:tc>
        <w:tc>
          <w:tcPr>
            <w:tcW w:w="2254" w:type="dxa"/>
            <w:tcBorders>
              <w:top w:val="nil"/>
              <w:bottom w:val="nil"/>
            </w:tcBorders>
          </w:tcPr>
          <w:p w14:paraId="14989E04" w14:textId="5A6BF291" w:rsidR="00736793" w:rsidRPr="0010091A" w:rsidRDefault="00F81B70" w:rsidP="00F825B8">
            <w:pPr>
              <w:jc w:val="both"/>
              <w:rPr>
                <w:rFonts w:ascii="Times New Roman" w:hAnsi="Times New Roman"/>
                <w:highlight w:val="yellow"/>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B016E9">
              <w:rPr>
                <w:rFonts w:ascii="Times New Roman" w:hAnsi="Times New Roman"/>
                <w:noProof/>
              </w:rPr>
              <w:t>Allison et al. (2019)</w:t>
            </w:r>
            <w:r w:rsidRPr="00F81B70">
              <w:rPr>
                <w:rFonts w:ascii="Times New Roman" w:hAnsi="Times New Roman"/>
              </w:rPr>
              <w:fldChar w:fldCharType="end"/>
            </w:r>
          </w:p>
        </w:tc>
      </w:tr>
      <w:tr w:rsidR="00736793" w14:paraId="2FB5C9C8" w14:textId="77777777" w:rsidTr="00F4448F">
        <w:tc>
          <w:tcPr>
            <w:tcW w:w="2830" w:type="dxa"/>
            <w:tcBorders>
              <w:top w:val="nil"/>
              <w:bottom w:val="nil"/>
            </w:tcBorders>
          </w:tcPr>
          <w:p w14:paraId="101A0852" w14:textId="3E5DA57C"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Vesuvius</w:t>
            </w:r>
          </w:p>
        </w:tc>
        <w:tc>
          <w:tcPr>
            <w:tcW w:w="1966" w:type="dxa"/>
            <w:tcBorders>
              <w:top w:val="nil"/>
              <w:bottom w:val="nil"/>
            </w:tcBorders>
          </w:tcPr>
          <w:p w14:paraId="51BDE6B0" w14:textId="3E984C80"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24.42</w:t>
            </w:r>
          </w:p>
        </w:tc>
        <w:tc>
          <w:tcPr>
            <w:tcW w:w="1966" w:type="dxa"/>
            <w:tcBorders>
              <w:top w:val="nil"/>
              <w:bottom w:val="nil"/>
            </w:tcBorders>
          </w:tcPr>
          <w:p w14:paraId="7D47D0EA" w14:textId="6ACBAFEB"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-14.04</w:t>
            </w:r>
          </w:p>
        </w:tc>
        <w:tc>
          <w:tcPr>
            <w:tcW w:w="2254" w:type="dxa"/>
            <w:tcBorders>
              <w:top w:val="nil"/>
              <w:bottom w:val="nil"/>
            </w:tcBorders>
          </w:tcPr>
          <w:p w14:paraId="47269F30" w14:textId="5FA38E7D" w:rsidR="00736793" w:rsidRPr="0010091A" w:rsidRDefault="00F81B70" w:rsidP="00F825B8">
            <w:pPr>
              <w:jc w:val="both"/>
              <w:rPr>
                <w:rFonts w:ascii="Times New Roman" w:hAnsi="Times New Roman"/>
                <w:highlight w:val="yellow"/>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B016E9">
              <w:rPr>
                <w:rFonts w:ascii="Times New Roman" w:hAnsi="Times New Roman"/>
                <w:noProof/>
              </w:rPr>
              <w:t>Allison et al. (2019)</w:t>
            </w:r>
            <w:r w:rsidRPr="00F81B70">
              <w:rPr>
                <w:rFonts w:ascii="Times New Roman" w:hAnsi="Times New Roman"/>
              </w:rPr>
              <w:fldChar w:fldCharType="end"/>
            </w:r>
          </w:p>
        </w:tc>
      </w:tr>
      <w:tr w:rsidR="00736793" w14:paraId="52E58B95" w14:textId="77777777" w:rsidTr="00F4448F">
        <w:tc>
          <w:tcPr>
            <w:tcW w:w="2830" w:type="dxa"/>
            <w:tcBorders>
              <w:top w:val="nil"/>
              <w:bottom w:val="nil"/>
            </w:tcBorders>
          </w:tcPr>
          <w:p w14:paraId="02E74528" w14:textId="63FC9EEA"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Etna</w:t>
            </w:r>
          </w:p>
        </w:tc>
        <w:tc>
          <w:tcPr>
            <w:tcW w:w="1966" w:type="dxa"/>
            <w:tcBorders>
              <w:top w:val="nil"/>
              <w:bottom w:val="nil"/>
            </w:tcBorders>
          </w:tcPr>
          <w:p w14:paraId="7D54AE8C" w14:textId="007D4A95"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21.59</w:t>
            </w:r>
          </w:p>
        </w:tc>
        <w:tc>
          <w:tcPr>
            <w:tcW w:w="1966" w:type="dxa"/>
            <w:tcBorders>
              <w:top w:val="nil"/>
              <w:bottom w:val="nil"/>
            </w:tcBorders>
          </w:tcPr>
          <w:p w14:paraId="34B938B5" w14:textId="2FB78845"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-14.28</w:t>
            </w:r>
          </w:p>
        </w:tc>
        <w:tc>
          <w:tcPr>
            <w:tcW w:w="2254" w:type="dxa"/>
            <w:tcBorders>
              <w:top w:val="nil"/>
              <w:bottom w:val="nil"/>
            </w:tcBorders>
          </w:tcPr>
          <w:p w14:paraId="40C14E4C" w14:textId="05D82E64" w:rsidR="00736793" w:rsidRPr="0010091A" w:rsidRDefault="00F81B70" w:rsidP="00F825B8">
            <w:pPr>
              <w:jc w:val="both"/>
              <w:rPr>
                <w:rFonts w:ascii="Times New Roman" w:hAnsi="Times New Roman"/>
                <w:highlight w:val="yellow"/>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B016E9">
              <w:rPr>
                <w:rFonts w:ascii="Times New Roman" w:hAnsi="Times New Roman"/>
                <w:noProof/>
              </w:rPr>
              <w:t>Allison et al. (2019)</w:t>
            </w:r>
            <w:r w:rsidRPr="00F81B70">
              <w:rPr>
                <w:rFonts w:ascii="Times New Roman" w:hAnsi="Times New Roman"/>
              </w:rPr>
              <w:fldChar w:fldCharType="end"/>
            </w:r>
          </w:p>
        </w:tc>
      </w:tr>
      <w:tr w:rsidR="00736793" w14:paraId="40160761" w14:textId="77777777" w:rsidTr="00F4448F">
        <w:tc>
          <w:tcPr>
            <w:tcW w:w="2830" w:type="dxa"/>
            <w:tcBorders>
              <w:top w:val="nil"/>
              <w:bottom w:val="nil"/>
            </w:tcBorders>
          </w:tcPr>
          <w:p w14:paraId="2047E7CD" w14:textId="25AABF5A"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Stromboli</w:t>
            </w:r>
          </w:p>
        </w:tc>
        <w:tc>
          <w:tcPr>
            <w:tcW w:w="1966" w:type="dxa"/>
            <w:tcBorders>
              <w:top w:val="nil"/>
              <w:bottom w:val="nil"/>
            </w:tcBorders>
          </w:tcPr>
          <w:p w14:paraId="01947693" w14:textId="6EBC3F0B"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14.93</w:t>
            </w:r>
          </w:p>
        </w:tc>
        <w:tc>
          <w:tcPr>
            <w:tcW w:w="1966" w:type="dxa"/>
            <w:tcBorders>
              <w:top w:val="nil"/>
              <w:bottom w:val="nil"/>
            </w:tcBorders>
          </w:tcPr>
          <w:p w14:paraId="37958360" w14:textId="008C87DE"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-14.68</w:t>
            </w:r>
          </w:p>
        </w:tc>
        <w:tc>
          <w:tcPr>
            <w:tcW w:w="2254" w:type="dxa"/>
            <w:tcBorders>
              <w:top w:val="nil"/>
              <w:bottom w:val="nil"/>
            </w:tcBorders>
          </w:tcPr>
          <w:p w14:paraId="7DDDC686" w14:textId="553E9B6D" w:rsidR="00736793" w:rsidRPr="0010091A" w:rsidRDefault="00F81B70" w:rsidP="00F825B8">
            <w:pPr>
              <w:jc w:val="both"/>
              <w:rPr>
                <w:rFonts w:ascii="Times New Roman" w:hAnsi="Times New Roman"/>
                <w:highlight w:val="yellow"/>
              </w:rPr>
            </w:pPr>
            <w:r w:rsidRPr="00F81B70">
              <w:rPr>
                <w:rFonts w:ascii="Times New Roman" w:hAnsi="Times New Roman"/>
              </w:rPr>
              <w:fldChar w:fldCharType="begin" w:fldLock="1"/>
            </w:r>
            <w:r w:rsidR="000A3874">
              <w:rPr>
                <w:rFonts w:ascii="Times New Roman" w:hAnsi="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sidRPr="00F81B70">
              <w:rPr>
                <w:rFonts w:ascii="Times New Roman" w:hAnsi="Times New Roman"/>
              </w:rPr>
              <w:fldChar w:fldCharType="separate"/>
            </w:r>
            <w:r w:rsidRPr="00B016E9">
              <w:rPr>
                <w:rFonts w:ascii="Times New Roman" w:hAnsi="Times New Roman"/>
                <w:noProof/>
              </w:rPr>
              <w:t>Allison et al. (2019)</w:t>
            </w:r>
            <w:r w:rsidRPr="00F81B70">
              <w:rPr>
                <w:rFonts w:ascii="Times New Roman" w:hAnsi="Times New Roman"/>
              </w:rPr>
              <w:fldChar w:fldCharType="end"/>
            </w:r>
          </w:p>
        </w:tc>
      </w:tr>
      <w:tr w:rsidR="00736793" w14:paraId="759BD6BB" w14:textId="77777777" w:rsidTr="00F4448F">
        <w:tc>
          <w:tcPr>
            <w:tcW w:w="2830" w:type="dxa"/>
            <w:tcBorders>
              <w:top w:val="nil"/>
              <w:bottom w:val="nil"/>
            </w:tcBorders>
          </w:tcPr>
          <w:p w14:paraId="0880C8C4" w14:textId="7862E0A5"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Basanite</w:t>
            </w:r>
          </w:p>
        </w:tc>
        <w:tc>
          <w:tcPr>
            <w:tcW w:w="1966" w:type="dxa"/>
            <w:tcBorders>
              <w:top w:val="nil"/>
              <w:bottom w:val="nil"/>
            </w:tcBorders>
          </w:tcPr>
          <w:p w14:paraId="4FA2CE89" w14:textId="0E1BC240"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21.72</w:t>
            </w:r>
          </w:p>
        </w:tc>
        <w:tc>
          <w:tcPr>
            <w:tcW w:w="1966" w:type="dxa"/>
            <w:tcBorders>
              <w:top w:val="nil"/>
              <w:bottom w:val="nil"/>
            </w:tcBorders>
          </w:tcPr>
          <w:p w14:paraId="33DA349D" w14:textId="72E4953F"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-14.32</w:t>
            </w:r>
          </w:p>
        </w:tc>
        <w:tc>
          <w:tcPr>
            <w:tcW w:w="2254" w:type="dxa"/>
            <w:tcBorders>
              <w:top w:val="nil"/>
              <w:bottom w:val="nil"/>
            </w:tcBorders>
          </w:tcPr>
          <w:p w14:paraId="55213284" w14:textId="50BB6835" w:rsidR="00736793" w:rsidRPr="0010091A" w:rsidRDefault="00F81B70" w:rsidP="00F825B8">
            <w:pPr>
              <w:jc w:val="both"/>
              <w:rPr>
                <w:rFonts w:ascii="Times New Roman" w:hAnsi="Times New Roman"/>
                <w:highlight w:val="yellow"/>
              </w:rPr>
            </w:pPr>
            <w:r>
              <w:rPr>
                <w:rFonts w:ascii="Times New Roman" w:eastAsiaTheme="minorEastAsia" w:hAnsi="Times New Roman" w:cs="Times New Roman"/>
                <w:iCs/>
              </w:rPr>
              <w:fldChar w:fldCharType="begin" w:fldLock="1"/>
            </w:r>
            <w:r>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Pr>
                <w:rFonts w:ascii="Times New Roman" w:eastAsiaTheme="minorEastAsia" w:hAnsi="Times New Roman" w:cs="Times New Roman"/>
                <w:iCs/>
              </w:rPr>
              <w:fldChar w:fldCharType="separate"/>
            </w:r>
            <w:r w:rsidRPr="00F81B70">
              <w:rPr>
                <w:rFonts w:ascii="Times New Roman" w:eastAsiaTheme="minorEastAsia" w:hAnsi="Times New Roman" w:cs="Times New Roman"/>
                <w:iCs/>
                <w:noProof/>
              </w:rPr>
              <w:t xml:space="preserve">Allison et al. </w:t>
            </w:r>
            <w:r>
              <w:rPr>
                <w:rFonts w:ascii="Times New Roman" w:eastAsiaTheme="minorEastAsia" w:hAnsi="Times New Roman" w:cs="Times New Roman"/>
                <w:iCs/>
                <w:noProof/>
              </w:rPr>
              <w:t>(</w:t>
            </w:r>
            <w:r w:rsidRPr="00F81B70">
              <w:rPr>
                <w:rFonts w:ascii="Times New Roman" w:eastAsiaTheme="minorEastAsia" w:hAnsi="Times New Roman" w:cs="Times New Roman"/>
                <w:iCs/>
                <w:noProof/>
              </w:rPr>
              <w:t>2022)</w:t>
            </w:r>
            <w:r>
              <w:rPr>
                <w:rFonts w:ascii="Times New Roman" w:eastAsiaTheme="minorEastAsia" w:hAnsi="Times New Roman" w:cs="Times New Roman"/>
                <w:iCs/>
              </w:rPr>
              <w:fldChar w:fldCharType="end"/>
            </w:r>
          </w:p>
        </w:tc>
      </w:tr>
      <w:tr w:rsidR="00736793" w14:paraId="4ECC5902" w14:textId="77777777" w:rsidTr="00F4448F">
        <w:tc>
          <w:tcPr>
            <w:tcW w:w="2830" w:type="dxa"/>
            <w:tcBorders>
              <w:top w:val="nil"/>
              <w:bottom w:val="nil"/>
            </w:tcBorders>
          </w:tcPr>
          <w:p w14:paraId="6E14DAE6" w14:textId="7EAC1681"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Leucite</w:t>
            </w:r>
          </w:p>
        </w:tc>
        <w:tc>
          <w:tcPr>
            <w:tcW w:w="1966" w:type="dxa"/>
            <w:tcBorders>
              <w:top w:val="nil"/>
              <w:bottom w:val="nil"/>
            </w:tcBorders>
          </w:tcPr>
          <w:p w14:paraId="311E98F9" w14:textId="7DE622F2"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21.53</w:t>
            </w:r>
          </w:p>
        </w:tc>
        <w:tc>
          <w:tcPr>
            <w:tcW w:w="1966" w:type="dxa"/>
            <w:tcBorders>
              <w:top w:val="nil"/>
              <w:bottom w:val="nil"/>
            </w:tcBorders>
          </w:tcPr>
          <w:p w14:paraId="7DDF6630" w14:textId="1D380EB4"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-13.36</w:t>
            </w:r>
          </w:p>
        </w:tc>
        <w:tc>
          <w:tcPr>
            <w:tcW w:w="2254" w:type="dxa"/>
            <w:tcBorders>
              <w:top w:val="nil"/>
              <w:bottom w:val="nil"/>
            </w:tcBorders>
          </w:tcPr>
          <w:p w14:paraId="7E60488E" w14:textId="5D274AB5" w:rsidR="00736793" w:rsidRPr="0010091A" w:rsidRDefault="00F81B70" w:rsidP="00F825B8">
            <w:pPr>
              <w:jc w:val="both"/>
              <w:rPr>
                <w:rFonts w:ascii="Times New Roman" w:hAnsi="Times New Roman"/>
                <w:highlight w:val="yellow"/>
              </w:rPr>
            </w:pPr>
            <w:r>
              <w:rPr>
                <w:rFonts w:ascii="Times New Roman" w:eastAsiaTheme="minorEastAsia" w:hAnsi="Times New Roman" w:cs="Times New Roman"/>
                <w:iCs/>
              </w:rPr>
              <w:fldChar w:fldCharType="begin" w:fldLock="1"/>
            </w:r>
            <w:r>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Pr>
                <w:rFonts w:ascii="Times New Roman" w:eastAsiaTheme="minorEastAsia" w:hAnsi="Times New Roman" w:cs="Times New Roman"/>
                <w:iCs/>
              </w:rPr>
              <w:fldChar w:fldCharType="separate"/>
            </w:r>
            <w:r w:rsidRPr="00F81B70">
              <w:rPr>
                <w:rFonts w:ascii="Times New Roman" w:eastAsiaTheme="minorEastAsia" w:hAnsi="Times New Roman" w:cs="Times New Roman"/>
                <w:iCs/>
                <w:noProof/>
              </w:rPr>
              <w:t xml:space="preserve">Allison et al. </w:t>
            </w:r>
            <w:r>
              <w:rPr>
                <w:rFonts w:ascii="Times New Roman" w:eastAsiaTheme="minorEastAsia" w:hAnsi="Times New Roman" w:cs="Times New Roman"/>
                <w:iCs/>
                <w:noProof/>
              </w:rPr>
              <w:t>(</w:t>
            </w:r>
            <w:r w:rsidRPr="00F81B70">
              <w:rPr>
                <w:rFonts w:ascii="Times New Roman" w:eastAsiaTheme="minorEastAsia" w:hAnsi="Times New Roman" w:cs="Times New Roman"/>
                <w:iCs/>
                <w:noProof/>
              </w:rPr>
              <w:t>2022)</w:t>
            </w:r>
            <w:r>
              <w:rPr>
                <w:rFonts w:ascii="Times New Roman" w:eastAsiaTheme="minorEastAsia" w:hAnsi="Times New Roman" w:cs="Times New Roman"/>
                <w:iCs/>
              </w:rPr>
              <w:fldChar w:fldCharType="end"/>
            </w:r>
          </w:p>
        </w:tc>
      </w:tr>
      <w:tr w:rsidR="00736793" w14:paraId="0CC9D13A" w14:textId="77777777" w:rsidTr="00F4448F">
        <w:tc>
          <w:tcPr>
            <w:tcW w:w="2830" w:type="dxa"/>
            <w:tcBorders>
              <w:top w:val="nil"/>
              <w:bottom w:val="nil"/>
            </w:tcBorders>
          </w:tcPr>
          <w:p w14:paraId="20CF229E" w14:textId="17C0AC5F"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 xml:space="preserve">AH3 </w:t>
            </w:r>
            <w:proofErr w:type="spellStart"/>
            <w:r>
              <w:rPr>
                <w:rFonts w:ascii="Times New Roman" w:eastAsiaTheme="minorEastAsia" w:hAnsi="Times New Roman" w:cs="Times New Roman"/>
                <w:iCs/>
              </w:rPr>
              <w:t>phonotephrite</w:t>
            </w:r>
            <w:proofErr w:type="spellEnd"/>
          </w:p>
        </w:tc>
        <w:tc>
          <w:tcPr>
            <w:tcW w:w="1966" w:type="dxa"/>
            <w:tcBorders>
              <w:top w:val="nil"/>
              <w:bottom w:val="nil"/>
            </w:tcBorders>
          </w:tcPr>
          <w:p w14:paraId="456FDE04" w14:textId="51A60AE8"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30.45</w:t>
            </w:r>
          </w:p>
        </w:tc>
        <w:tc>
          <w:tcPr>
            <w:tcW w:w="1966" w:type="dxa"/>
            <w:tcBorders>
              <w:top w:val="nil"/>
              <w:bottom w:val="nil"/>
            </w:tcBorders>
          </w:tcPr>
          <w:p w14:paraId="6FA51864" w14:textId="24732A47"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-13.26</w:t>
            </w:r>
          </w:p>
        </w:tc>
        <w:tc>
          <w:tcPr>
            <w:tcW w:w="2254" w:type="dxa"/>
            <w:tcBorders>
              <w:top w:val="nil"/>
              <w:bottom w:val="nil"/>
            </w:tcBorders>
          </w:tcPr>
          <w:p w14:paraId="2BA5A579" w14:textId="2C1022C3" w:rsidR="00736793" w:rsidRPr="0010091A" w:rsidRDefault="00F81B70" w:rsidP="00F825B8">
            <w:pPr>
              <w:jc w:val="both"/>
              <w:rPr>
                <w:rFonts w:ascii="Times New Roman" w:hAnsi="Times New Roman"/>
                <w:highlight w:val="yellow"/>
              </w:rPr>
            </w:pPr>
            <w:r>
              <w:rPr>
                <w:rFonts w:ascii="Times New Roman" w:eastAsiaTheme="minorEastAsia" w:hAnsi="Times New Roman" w:cs="Times New Roman"/>
                <w:iCs/>
              </w:rPr>
              <w:fldChar w:fldCharType="begin" w:fldLock="1"/>
            </w:r>
            <w:r>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Pr>
                <w:rFonts w:ascii="Times New Roman" w:eastAsiaTheme="minorEastAsia" w:hAnsi="Times New Roman" w:cs="Times New Roman"/>
                <w:iCs/>
              </w:rPr>
              <w:fldChar w:fldCharType="separate"/>
            </w:r>
            <w:r w:rsidRPr="00F81B70">
              <w:rPr>
                <w:rFonts w:ascii="Times New Roman" w:eastAsiaTheme="minorEastAsia" w:hAnsi="Times New Roman" w:cs="Times New Roman"/>
                <w:iCs/>
                <w:noProof/>
              </w:rPr>
              <w:t xml:space="preserve">Allison et al. </w:t>
            </w:r>
            <w:r>
              <w:rPr>
                <w:rFonts w:ascii="Times New Roman" w:eastAsiaTheme="minorEastAsia" w:hAnsi="Times New Roman" w:cs="Times New Roman"/>
                <w:iCs/>
                <w:noProof/>
              </w:rPr>
              <w:t>(</w:t>
            </w:r>
            <w:r w:rsidRPr="00F81B70">
              <w:rPr>
                <w:rFonts w:ascii="Times New Roman" w:eastAsiaTheme="minorEastAsia" w:hAnsi="Times New Roman" w:cs="Times New Roman"/>
                <w:iCs/>
                <w:noProof/>
              </w:rPr>
              <w:t>2022)</w:t>
            </w:r>
            <w:r>
              <w:rPr>
                <w:rFonts w:ascii="Times New Roman" w:eastAsiaTheme="minorEastAsia" w:hAnsi="Times New Roman" w:cs="Times New Roman"/>
                <w:iCs/>
              </w:rPr>
              <w:fldChar w:fldCharType="end"/>
            </w:r>
          </w:p>
        </w:tc>
      </w:tr>
      <w:tr w:rsidR="00736793" w14:paraId="1CF2067F" w14:textId="77777777" w:rsidTr="00F4448F">
        <w:tc>
          <w:tcPr>
            <w:tcW w:w="2830" w:type="dxa"/>
            <w:tcBorders>
              <w:top w:val="nil"/>
            </w:tcBorders>
          </w:tcPr>
          <w:p w14:paraId="65536461" w14:textId="368F9D91" w:rsidR="00736793" w:rsidRDefault="00736793" w:rsidP="00F825B8">
            <w:pPr>
              <w:jc w:val="both"/>
              <w:rPr>
                <w:rFonts w:ascii="Times New Roman" w:eastAsiaTheme="minorEastAsia" w:hAnsi="Times New Roman" w:cs="Times New Roman"/>
                <w:iCs/>
              </w:rPr>
            </w:pPr>
            <w:r>
              <w:rPr>
                <w:rFonts w:ascii="Times New Roman" w:eastAsiaTheme="minorEastAsia" w:hAnsi="Times New Roman" w:cs="Times New Roman"/>
                <w:iCs/>
              </w:rPr>
              <w:t>N72 basalt</w:t>
            </w:r>
          </w:p>
        </w:tc>
        <w:tc>
          <w:tcPr>
            <w:tcW w:w="1966" w:type="dxa"/>
            <w:tcBorders>
              <w:top w:val="nil"/>
            </w:tcBorders>
          </w:tcPr>
          <w:p w14:paraId="4B3EB9D9" w14:textId="111F68C0" w:rsidR="00736793" w:rsidRDefault="00736793" w:rsidP="00F825B8">
            <w:pPr>
              <w:jc w:val="right"/>
              <w:rPr>
                <w:rFonts w:ascii="Times New Roman" w:eastAsia="Times New Roman" w:hAnsi="Times New Roman" w:cs="Times New Roman"/>
              </w:rPr>
            </w:pPr>
            <w:r>
              <w:rPr>
                <w:rFonts w:ascii="Times New Roman" w:eastAsia="Times New Roman" w:hAnsi="Times New Roman" w:cs="Times New Roman"/>
              </w:rPr>
              <w:t>19.05</w:t>
            </w:r>
          </w:p>
        </w:tc>
        <w:tc>
          <w:tcPr>
            <w:tcW w:w="1966" w:type="dxa"/>
            <w:tcBorders>
              <w:top w:val="nil"/>
            </w:tcBorders>
          </w:tcPr>
          <w:p w14:paraId="406CA727" w14:textId="3AB088D0" w:rsidR="00736793" w:rsidRDefault="00736793" w:rsidP="00F825B8">
            <w:pPr>
              <w:jc w:val="right"/>
              <w:rPr>
                <w:rFonts w:ascii="Times New Roman" w:eastAsiaTheme="minorEastAsia" w:hAnsi="Times New Roman" w:cs="Times New Roman"/>
                <w:iCs/>
              </w:rPr>
            </w:pPr>
            <w:r>
              <w:rPr>
                <w:rFonts w:ascii="Times New Roman" w:eastAsiaTheme="minorEastAsia" w:hAnsi="Times New Roman" w:cs="Times New Roman"/>
                <w:iCs/>
              </w:rPr>
              <w:t>-14.86</w:t>
            </w:r>
          </w:p>
        </w:tc>
        <w:tc>
          <w:tcPr>
            <w:tcW w:w="2254" w:type="dxa"/>
            <w:tcBorders>
              <w:top w:val="nil"/>
            </w:tcBorders>
          </w:tcPr>
          <w:p w14:paraId="23555D89" w14:textId="3DAA2715" w:rsidR="00736793" w:rsidRPr="0010091A" w:rsidRDefault="00F81B70" w:rsidP="00F825B8">
            <w:pPr>
              <w:jc w:val="both"/>
              <w:rPr>
                <w:rFonts w:ascii="Times New Roman" w:hAnsi="Times New Roman"/>
                <w:highlight w:val="yellow"/>
              </w:rPr>
            </w:pPr>
            <w:r>
              <w:rPr>
                <w:rFonts w:ascii="Times New Roman" w:eastAsiaTheme="minorEastAsia" w:hAnsi="Times New Roman" w:cs="Times New Roman"/>
                <w:iCs/>
              </w:rPr>
              <w:fldChar w:fldCharType="begin" w:fldLock="1"/>
            </w:r>
            <w:r>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Pr>
                <w:rFonts w:ascii="Times New Roman" w:eastAsiaTheme="minorEastAsia" w:hAnsi="Times New Roman" w:cs="Times New Roman"/>
                <w:iCs/>
              </w:rPr>
              <w:fldChar w:fldCharType="separate"/>
            </w:r>
            <w:r w:rsidRPr="00F81B70">
              <w:rPr>
                <w:rFonts w:ascii="Times New Roman" w:eastAsiaTheme="minorEastAsia" w:hAnsi="Times New Roman" w:cs="Times New Roman"/>
                <w:iCs/>
                <w:noProof/>
              </w:rPr>
              <w:t xml:space="preserve">Allison et al. </w:t>
            </w:r>
            <w:r>
              <w:rPr>
                <w:rFonts w:ascii="Times New Roman" w:eastAsiaTheme="minorEastAsia" w:hAnsi="Times New Roman" w:cs="Times New Roman"/>
                <w:iCs/>
                <w:noProof/>
              </w:rPr>
              <w:t>(</w:t>
            </w:r>
            <w:r w:rsidRPr="00F81B70">
              <w:rPr>
                <w:rFonts w:ascii="Times New Roman" w:eastAsiaTheme="minorEastAsia" w:hAnsi="Times New Roman" w:cs="Times New Roman"/>
                <w:iCs/>
                <w:noProof/>
              </w:rPr>
              <w:t>2022)</w:t>
            </w:r>
            <w:r>
              <w:rPr>
                <w:rFonts w:ascii="Times New Roman" w:eastAsiaTheme="minorEastAsia" w:hAnsi="Times New Roman" w:cs="Times New Roman"/>
                <w:iCs/>
              </w:rPr>
              <w:fldChar w:fldCharType="end"/>
            </w:r>
          </w:p>
        </w:tc>
      </w:tr>
    </w:tbl>
    <w:p w14:paraId="3BBF80D7" w14:textId="77777777" w:rsidR="00D61BC9" w:rsidRDefault="00D61BC9" w:rsidP="00D61BC9">
      <w:pPr>
        <w:ind w:firstLine="720"/>
        <w:jc w:val="both"/>
        <w:rPr>
          <w:rFonts w:ascii="Times New Roman" w:eastAsiaTheme="minorEastAsia" w:hAnsi="Times New Roman" w:cs="Times New Roman"/>
          <w:iCs/>
        </w:rPr>
      </w:pPr>
    </w:p>
    <w:p w14:paraId="6BA2DDE6" w14:textId="30E89D1C" w:rsidR="007716CC" w:rsidRPr="007716CC" w:rsidRDefault="007716CC" w:rsidP="00D61BC9">
      <w:pPr>
        <w:ind w:firstLine="720"/>
        <w:jc w:val="both"/>
        <w:rPr>
          <w:rFonts w:ascii="Times New Roman" w:hAnsi="Times New Roman" w:cs="Times New Roman"/>
        </w:rPr>
      </w:pPr>
      <w:r>
        <w:rPr>
          <w:rFonts w:ascii="Times New Roman" w:hAnsi="Times New Roman" w:cs="Times New Roman"/>
        </w:rPr>
        <w:t>We only consider carbonate in our calculations. However, m</w:t>
      </w:r>
      <w:r w:rsidRPr="007716CC">
        <w:rPr>
          <w:rFonts w:ascii="Times New Roman" w:hAnsi="Times New Roman" w:cs="Times New Roman"/>
        </w:rPr>
        <w:t>olecular CO</w:t>
      </w:r>
      <w:r w:rsidRPr="007716CC">
        <w:rPr>
          <w:rFonts w:ascii="Times New Roman" w:hAnsi="Times New Roman" w:cs="Times New Roman"/>
          <w:vertAlign w:val="subscript"/>
        </w:rPr>
        <w:t>2</w:t>
      </w:r>
      <w:r w:rsidRPr="007716CC">
        <w:rPr>
          <w:rFonts w:ascii="Times New Roman" w:hAnsi="Times New Roman" w:cs="Times New Roman"/>
        </w:rPr>
        <w:t xml:space="preserve"> </w:t>
      </w:r>
      <w:r>
        <w:rPr>
          <w:rFonts w:ascii="Times New Roman" w:hAnsi="Times New Roman" w:cs="Times New Roman"/>
        </w:rPr>
        <w:t>can also dissolve in silicate melts: it occurs as well as carbonate in andesite and dacite composition</w:t>
      </w:r>
      <w:r w:rsidR="002A3F34">
        <w:rPr>
          <w:rFonts w:ascii="Times New Roman" w:hAnsi="Times New Roman" w:cs="Times New Roman"/>
        </w:rPr>
        <w:t>s</w:t>
      </w:r>
      <w:r>
        <w:rPr>
          <w:rFonts w:ascii="Times New Roman" w:hAnsi="Times New Roman" w:cs="Times New Roman"/>
        </w:rPr>
        <w:t xml:space="preserve"> and is the only species in rhyolites</w:t>
      </w:r>
      <w:r w:rsidR="00A70704">
        <w:rPr>
          <w:rFonts w:ascii="Times New Roman" w:hAnsi="Times New Roman" w:cs="Times New Roman"/>
        </w:rPr>
        <w:t xml:space="preserve"> </w:t>
      </w:r>
      <w:r w:rsidR="00A70704">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{"citationItems":[{"id":"ITEM-1","itemData":{"DOI":"10.1016/0012-821X(93)90004-S","ISSN":"0012821X","abstract":"Concentrations of carbon dioxide and water dissolved in glasses quenched from rhyolitic melts equilibrated with H2OCO2 fluids at 850°C and 750 bar were measured using infrared spectroscopy; concentrations of H2O and CO2 in the quenched fluids were measured manometrically. The mole fraction of CO2 in the quenched fluid ranged from 0.06 to 0.91. Concentrations of CO2 in the coexisting rhyolitic melt increased from 23(±6) ppm for the sample equilibrated with the most CO2-poor fluid to 515(±16) ppm for that equilibrated with the most CO2-rich fluid. The water content of the melt varied from 0.51(±0.06) to 3.34(±0.08) wt%. Our results show that concentrations of molecular CO2 and H2O in the glasses obey Henry's Law; i.e., the mole fractions of molecular CO2 and molecular H2O in the quenched melts are proportional to their fugacities in the coexisting vapor. CO2 contents of vapor-saturated melts are not enhanced by addition of water to CO2-rich vapor, contrary to previous reports for silicate melts at higher pressures. The Henrian behavior of CO2 and H2O at low pressure considerably simplifies modeling of the degassing of silicic magmas. © 1993.","author":[{"dropping-particle":"","family":"Blank","given":"J. G.","non-dropping-particle":"","parse-names":false,"suffix":""},{"dropping-particle":"","family":"Stolper","given":"Edward M.","non-dropping-particle":"","parse-names":false,"suffix":""},{"dropping-particle":"","family":"Carroll","given":"M. R.","non-dropping-particle":"","parse-names":false,"suffix":""}],"container-title":"Earth and Planetary Science Letters","id":"ITEM-1","issue":"1-2","issued":{"date-parts":[["1993","8","1"]]},"page":"27-36","publisher":"Elsevier","title":"Solubilities of carbon dioxide and water in rhyolitic melt at 850°C and 750 bars","type":"article-journal","volume":"119"},"uris":["http://www.mendeley.com/documents/?uuid=de062b80-3b0f-3519-9580-a70f60d20275"]},{"id":"ITEM-2","itemData":{"author":[{"dropping-particle":"","family":"Blank","given":"J.G.","non-dropping-particle":"","parse-names":false,"suffix":""},{"dropping-particle":"","family":"Brooker","given":"Richard A.","non-dropping-particle":"","parse-names":false,"suffix":""}],"container-title":"Reviews in Mineralogy and Geochemistry","id":"ITEM-2","issue":"1","issued":{"date-parts":[["1994"]]},"page":"157-186","title":"Experimental studies of carbon dioxide in silicate melts: Solubility, speciation, and stable carbon isotope behaviour","type":"article-journal","volume":"30"},"uris":["http://www.mendeley.com/documents/?uuid=cc695245-6e66-440c-ab62-d4cc870c0456"]},{"id":"ITEM-3","itemData":{"DOI":"10.1016/J.CHEMGEO.2006.01.016","ISSN":"0009-2541","abstract":"The solubility and speciation of C–O–H fluids in andesitic melts were experimentally investigated at 1100–1300°C and 200, 500MPa. Solubilities of H2O and CO2 increase with pressure and the maximum solubility values are 5.5 and 10.0wt.% H2O and 2200 and 4500ppm CO2 at 200 and500MPa, respectively. The effect of temperature on the solubility of C–O–H fluids is not resolved from the obtained data. The solubility values for CO2-rich fluid in andesitic melts at 200 and 500MPa are similar to the data for tholeiitic, dacitic and rhyolitic melts having compositions falling along an inverse linear trend on the (Ca+Mg+Fe) cation fraction vs. (Na+K)/(Si+Al) ratio diagram. This indicates that for these melts the decrease in the proportion of reactive oxygens (or network-modifiers), which are responsible for the incorporation of carbonate species, can be compensated in a certain degree by an increase in ionic porosity of polymerized melts, favoring the incorporation of molecular CO2. The speciation of water and carbon in quenched glasses depends strongly on total water content (CH2Otot). The CH2Omol/CH2Otot ratio increases from about 0.1 to 0.7 with CH2Otot varying from 0.8 to 8wt.%. The proportion of CO2mol decreases nonlinearly from 0.033 to almost 0 in the same range of CH2Otot. The observed change in speciation can be attributed to the effect of water on the glass transition temperature, i.e. to the conditions at which the speciation can be frozen in. The log-form of reaction constants K1 and K2 for water and carbon speciation in glasses show well-defined Arrhenian dependences on reciprocal fictive temperature of the glass, consistent with the assumption that water and carbon species are frozen in at the glass transition.","author":[{"dropping-particle":"","family":"Botcharnikov","given":"Roman E.","non-dropping-particle":"","parse-names":false,"suffix":""},{"dropping-particle":"","family":"Behrens","given":"H.","non-dropping-particle":"","parse-names":false,"suffix":""},{"dropping-particle":"","family":"Holtz","given":"F.","non-dropping-particle":"","parse-names":false,"suffix":""}],"container-title":"Chemical Geology","id":"ITEM-3","issue":"1-3","issued":{"date-parts":[["2006","5","16"]]},"page":"125-143","publisher":"Elsevier","title":"Solubility and speciation of C–O–H fluids in andesitic melt at T = 1100–1300 °C and P = 200 and 500 MPa","type":"article-journal","volume":"229"},"uris":["http://www.mendeley.com/documents/?uuid=61455125-84c0-3f31-9be0-77dac2828e26"]}],"mendeley":{"formattedCitation":"(Blank et al., 1993; Blank and Brooker, 1994; Botcharnikov et al., 2006)","manualFormatting":"(e.g., Blank et al., 1993; Blank and Brooker, 1994; Botcharnikov et al., 2006)","plainTextFormattedCitation":"(Blank et al., 1993; Blank and Brooker, 1994; Botcharnikov et al., 2006)","previouslyFormattedCitation":"(Blank et al., 1993; Blank and Brooker, 1994; Botcharnikov et al., 2006)"},"properties":{"noteIndex":0},"schema":"https://github.com/citation-style-language/schema/raw/master/csl-citation.json"}</w:instrText>
      </w:r>
      <w:r w:rsidR="00A70704">
        <w:rPr>
          <w:rFonts w:ascii="Times New Roman" w:hAnsi="Times New Roman" w:cs="Times New Roman"/>
        </w:rPr>
        <w:fldChar w:fldCharType="separate"/>
      </w:r>
      <w:r w:rsidR="000F0BD4" w:rsidRPr="000F0BD4">
        <w:rPr>
          <w:rFonts w:ascii="Times New Roman" w:hAnsi="Times New Roman" w:cs="Times New Roman"/>
          <w:noProof/>
        </w:rPr>
        <w:t>(</w:t>
      </w:r>
      <w:r w:rsidR="000F0BD4">
        <w:rPr>
          <w:rFonts w:ascii="Times New Roman" w:hAnsi="Times New Roman" w:cs="Times New Roman"/>
          <w:noProof/>
        </w:rPr>
        <w:t xml:space="preserve">e.g., </w:t>
      </w:r>
      <w:r w:rsidR="000F0BD4" w:rsidRPr="000F0BD4">
        <w:rPr>
          <w:rFonts w:ascii="Times New Roman" w:hAnsi="Times New Roman" w:cs="Times New Roman"/>
          <w:noProof/>
        </w:rPr>
        <w:t>Blank et al., 1993; Blank and Brooker, 1994; Botcharnikov et al., 2006)</w:t>
      </w:r>
      <w:r w:rsidR="00A70704">
        <w:rPr>
          <w:rFonts w:ascii="Times New Roman" w:hAnsi="Times New Roman" w:cs="Times New Roman"/>
        </w:rPr>
        <w:fldChar w:fldCharType="end"/>
      </w:r>
      <w:r>
        <w:rPr>
          <w:rFonts w:ascii="Times New Roman" w:hAnsi="Times New Roman" w:cs="Times New Roman"/>
        </w:rPr>
        <w:t>.</w:t>
      </w:r>
      <w:r w:rsidRPr="007716CC">
        <w:rPr>
          <w:rFonts w:ascii="Times New Roman" w:hAnsi="Times New Roman" w:cs="Times New Roman"/>
        </w:rPr>
        <w:t xml:space="preserve"> </w:t>
      </w:r>
      <w:r>
        <w:rPr>
          <w:rFonts w:ascii="Times New Roman" w:hAnsi="Times New Roman" w:cs="Times New Roman"/>
        </w:rPr>
        <w:t>M</w:t>
      </w:r>
      <w:r w:rsidRPr="007716CC">
        <w:rPr>
          <w:rFonts w:ascii="Times New Roman" w:hAnsi="Times New Roman" w:cs="Times New Roman"/>
        </w:rPr>
        <w:t>olecular CO</w:t>
      </w:r>
      <w:r w:rsidRPr="007716CC">
        <w:rPr>
          <w:rFonts w:ascii="Times New Roman" w:hAnsi="Times New Roman" w:cs="Times New Roman"/>
          <w:vertAlign w:val="subscript"/>
        </w:rPr>
        <w:t>2</w:t>
      </w:r>
      <w:r>
        <w:rPr>
          <w:rFonts w:ascii="Times New Roman" w:hAnsi="Times New Roman" w:cs="Times New Roman"/>
        </w:rPr>
        <w:t xml:space="preserve"> </w:t>
      </w:r>
      <w:r w:rsidRPr="007716CC">
        <w:rPr>
          <w:rFonts w:ascii="Times New Roman" w:hAnsi="Times New Roman" w:cs="Times New Roman"/>
        </w:rPr>
        <w:t>has a different heterogeneous melt-vapor equilibrium to carbonate, with its associated equilibrium constant</w:t>
      </w:r>
      <w:r w:rsidR="006E5D37">
        <w:rPr>
          <w:rFonts w:ascii="Times New Roman" w:hAnsi="Times New Roman" w:cs="Times New Roman"/>
        </w:rPr>
        <w:t>:</w:t>
      </w:r>
    </w:p>
    <w:p w14:paraId="6227AD93" w14:textId="66DFF7A3" w:rsidR="007716CC" w:rsidRPr="007716CC" w:rsidRDefault="00063B50" w:rsidP="007716CC">
      <w:pPr>
        <w:pStyle w:val="equation"/>
        <w:rPr>
          <w:rFonts w:ascii="Times New Roman" w:hAnsi="Times New Roman"/>
          <w:i/>
        </w:rPr>
      </w:pPr>
      <m:oMathPara>
        <m:oMath>
          <m:eqArr>
            <m:eqArrPr>
              <m:maxDist m:val="1"/>
              <m:ctrlPr>
                <w:rPr>
                  <w:rFonts w:ascii="Cambria Math" w:hAnsi="Cambria Math"/>
                  <w:i/>
                </w:rPr>
              </m:ctrlPr>
            </m:eqArrPr>
            <m:e>
              <m:r>
                <m:rPr>
                  <m:sty m:val="p"/>
                </m:rPr>
                <w:rPr>
                  <w:rFonts w:ascii="Cambria Math" w:hAnsi="Cambria Math"/>
                </w:rPr>
                <m:t>C</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S6</m:t>
                  </m:r>
                  <m:ctrlPr>
                    <w:rPr>
                      <w:rFonts w:ascii="Cambria Math" w:hAnsi="Cambria Math"/>
                    </w:rPr>
                  </m:ctrlPr>
                </m:e>
              </m:d>
            </m:e>
          </m:eqArr>
        </m:oMath>
      </m:oMathPara>
    </w:p>
    <w:p w14:paraId="273AC555" w14:textId="392C1875" w:rsidR="007716CC" w:rsidRPr="007716CC" w:rsidRDefault="00063B50" w:rsidP="007716CC">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up>
                      <m:r>
                        <w:rPr>
                          <w:rFonts w:ascii="Cambria Math" w:hAnsi="Cambria Math"/>
                        </w:rPr>
                        <m:t>m</m:t>
                      </m:r>
                    </m:sup>
                  </m:sSubSup>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den>
              </m:f>
              <m: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r>
                    <w:rPr>
                      <w:rFonts w:ascii="Cambria Math" w:hAnsi="Cambria Math"/>
                    </w:rPr>
                    <m:t xml:space="preserve"> </m:t>
                  </m:r>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den>
              </m:f>
              <m:r>
                <w:rPr>
                  <w:rFonts w:ascii="Cambria Math" w:hAnsi="Cambria Math"/>
                </w:rPr>
                <m:t>. #</m:t>
              </m:r>
              <m:d>
                <m:dPr>
                  <m:ctrlPr>
                    <w:rPr>
                      <w:rFonts w:ascii="Cambria Math" w:hAnsi="Cambria Math"/>
                      <w:i/>
                    </w:rPr>
                  </m:ctrlPr>
                </m:dPr>
                <m:e>
                  <m:r>
                    <m:rPr>
                      <m:sty m:val="p"/>
                    </m:rPr>
                    <w:rPr>
                      <w:rFonts w:ascii="Cambria Math" w:hAnsi="Cambria Math"/>
                    </w:rPr>
                    <m:t>S7</m:t>
                  </m:r>
                </m:e>
              </m:d>
            </m:e>
          </m:eqArr>
        </m:oMath>
      </m:oMathPara>
    </w:p>
    <w:p w14:paraId="14B11B0F" w14:textId="094FE281" w:rsidR="007716CC" w:rsidRPr="007716CC" w:rsidRDefault="007716CC" w:rsidP="007716CC">
      <w:pPr>
        <w:pStyle w:val="NoSpacing"/>
        <w:jc w:val="both"/>
        <w:rPr>
          <w:rFonts w:ascii="Times New Roman" w:hAnsi="Times New Roman"/>
        </w:rPr>
      </w:pPr>
      <w:r w:rsidRPr="007716CC">
        <w:rPr>
          <w:rFonts w:ascii="Times New Roman" w:hAnsi="Times New Roman"/>
        </w:rPr>
        <w:t>Using similar assumptions to before (</w:t>
      </w:r>
      <w:r w:rsidR="00B67966" w:rsidRPr="00B67966">
        <w:rPr>
          <w:rFonts w:ascii="Times New Roman" w:hAnsi="Times New Roman"/>
          <w:i/>
          <w:iCs/>
          <w:color w:val="000000" w:themeColor="text1"/>
        </w:rPr>
        <w:t>γ</w:t>
      </w:r>
      <w:r w:rsidR="00B67966" w:rsidRPr="00FD2F77">
        <w:rPr>
          <w:rFonts w:ascii="Times New Roman" w:hAnsi="Times New Roman"/>
          <w:i/>
          <w:iCs/>
          <w:color w:val="000000" w:themeColor="text1"/>
          <w:vertAlign w:val="superscript"/>
        </w:rPr>
        <w:t>m</w:t>
      </w:r>
      <w:r w:rsidR="00B67966" w:rsidRPr="00B67966">
        <w:rPr>
          <w:rFonts w:ascii="Times New Roman" w:hAnsi="Times New Roman"/>
          <w:color w:val="000000" w:themeColor="text1"/>
          <w:vertAlign w:val="subscript"/>
        </w:rPr>
        <w:t>CO</w:t>
      </w:r>
      <w:proofErr w:type="gramStart"/>
      <w:r w:rsidR="00B67966" w:rsidRPr="00B67966">
        <w:rPr>
          <w:rFonts w:ascii="Times New Roman" w:hAnsi="Times New Roman"/>
          <w:color w:val="000000" w:themeColor="text1"/>
          <w:vertAlign w:val="subscript"/>
        </w:rPr>
        <w:t>2,mol</w:t>
      </w:r>
      <w:proofErr w:type="gramEnd"/>
      <w:r w:rsidR="00B67966">
        <w:rPr>
          <w:rFonts w:ascii="Times New Roman" w:hAnsi="Times New Roman"/>
          <w:color w:val="000000" w:themeColor="text1"/>
        </w:rPr>
        <w:t xml:space="preserve"> = 1</w:t>
      </w:r>
      <w:r w:rsidRPr="007716CC">
        <w:rPr>
          <w:rFonts w:ascii="Times New Roman" w:hAnsi="Times New Roman"/>
        </w:rPr>
        <w:t xml:space="preserve">, therefore </w:t>
      </w:r>
      <w:r w:rsidR="00B67966">
        <w:rPr>
          <w:rFonts w:ascii="Times New Roman" w:hAnsi="Times New Roman"/>
          <w:i/>
          <w:iCs/>
          <w:color w:val="000000" w:themeColor="text1"/>
        </w:rPr>
        <w:t>a</w:t>
      </w:r>
      <w:r w:rsidR="00B67966" w:rsidRPr="00FD2F77">
        <w:rPr>
          <w:rFonts w:ascii="Times New Roman" w:hAnsi="Times New Roman"/>
          <w:i/>
          <w:iCs/>
          <w:color w:val="000000" w:themeColor="text1"/>
          <w:vertAlign w:val="superscript"/>
        </w:rPr>
        <w:t>m</w:t>
      </w:r>
      <w:r w:rsidR="00B67966" w:rsidRPr="00B67966">
        <w:rPr>
          <w:rFonts w:ascii="Times New Roman" w:hAnsi="Times New Roman"/>
          <w:color w:val="000000" w:themeColor="text1"/>
          <w:vertAlign w:val="subscript"/>
        </w:rPr>
        <w:t>CO2</w:t>
      </w:r>
      <w:r w:rsidR="00B67966">
        <w:rPr>
          <w:rFonts w:ascii="Times New Roman" w:hAnsi="Times New Roman"/>
          <w:color w:val="000000" w:themeColor="text1"/>
          <w:vertAlign w:val="subscript"/>
        </w:rPr>
        <w:t>,</w:t>
      </w:r>
      <w:r w:rsidR="00B67966" w:rsidRPr="00B67966">
        <w:rPr>
          <w:rFonts w:ascii="Times New Roman" w:hAnsi="Times New Roman"/>
          <w:color w:val="000000" w:themeColor="text1"/>
          <w:vertAlign w:val="subscript"/>
        </w:rPr>
        <w:t>mol</w:t>
      </w:r>
      <w:r w:rsidR="00B67966" w:rsidRPr="00B67966">
        <w:rPr>
          <w:rFonts w:ascii="Times New Roman" w:hAnsi="Times New Roman"/>
          <w:color w:val="000000" w:themeColor="text1"/>
        </w:rPr>
        <w:t xml:space="preserve"> = </w:t>
      </w:r>
      <w:r w:rsidR="00B67966">
        <w:rPr>
          <w:rFonts w:ascii="Times New Roman" w:hAnsi="Times New Roman"/>
          <w:i/>
          <w:iCs/>
          <w:color w:val="000000" w:themeColor="text1"/>
        </w:rPr>
        <w:t>x</w:t>
      </w:r>
      <w:r w:rsidR="00B67966" w:rsidRPr="00FD2F77">
        <w:rPr>
          <w:rFonts w:ascii="Times New Roman" w:hAnsi="Times New Roman"/>
          <w:i/>
          <w:iCs/>
          <w:color w:val="000000" w:themeColor="text1"/>
          <w:vertAlign w:val="superscript"/>
        </w:rPr>
        <w:t>m</w:t>
      </w:r>
      <w:r w:rsidR="00B67966" w:rsidRPr="00B67966">
        <w:rPr>
          <w:rFonts w:ascii="Times New Roman" w:hAnsi="Times New Roman"/>
          <w:color w:val="000000" w:themeColor="text1"/>
          <w:vertAlign w:val="subscript"/>
        </w:rPr>
        <w:t>CO2,mol</w:t>
      </w:r>
      <w:r w:rsidRPr="007716CC">
        <w:rPr>
          <w:rFonts w:ascii="Times New Roman" w:hAnsi="Times New Roman"/>
        </w:rPr>
        <w:t>)</w:t>
      </w:r>
      <w:r w:rsidR="00000B4A">
        <w:rPr>
          <w:rFonts w:ascii="Times New Roman" w:hAnsi="Times New Roman"/>
        </w:rPr>
        <w:t xml:space="preserve"> and </w:t>
      </w:r>
      <w:r w:rsidR="00C33A31">
        <w:rPr>
          <w:rFonts w:ascii="Times New Roman" w:hAnsi="Times New Roman"/>
        </w:rPr>
        <w:t xml:space="preserve">by combining the activity coefficients and equilibrium constants </w:t>
      </w:r>
      <w:r w:rsidR="00000B4A">
        <w:rPr>
          <w:rFonts w:ascii="Times New Roman" w:hAnsi="Times New Roman"/>
        </w:rPr>
        <w:t>:</w:t>
      </w:r>
    </w:p>
    <w:p w14:paraId="6967C55F" w14:textId="58B12975" w:rsidR="007716CC" w:rsidRPr="007716CC" w:rsidRDefault="00063B50" w:rsidP="007716CC">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r>
                    <w:rPr>
                      <w:rFonts w:ascii="Cambria Math" w:hAnsi="Cambria Math"/>
                    </w:rPr>
                    <m:t xml:space="preserve"> </m:t>
                  </m:r>
                </m:den>
              </m:f>
              <m: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r>
                    <w:rPr>
                      <w:rFonts w:ascii="Cambria Math" w:hAnsi="Cambria Math"/>
                    </w:rPr>
                    <m:t xml:space="preserve"> </m:t>
                  </m:r>
                </m:den>
              </m:f>
              <m:r>
                <w:rPr>
                  <w:rFonts w:ascii="Cambria Math" w:hAnsi="Cambria Math"/>
                </w:rPr>
                <m:t>. #</m:t>
              </m:r>
              <m:d>
                <m:dPr>
                  <m:ctrlPr>
                    <w:rPr>
                      <w:rFonts w:ascii="Cambria Math" w:hAnsi="Cambria Math"/>
                      <w:i/>
                    </w:rPr>
                  </m:ctrlPr>
                </m:dPr>
                <m:e>
                  <m:r>
                    <m:rPr>
                      <m:sty m:val="p"/>
                    </m:rPr>
                    <w:rPr>
                      <w:rFonts w:ascii="Cambria Math" w:hAnsi="Cambria Math"/>
                    </w:rPr>
                    <m:t>S8</m:t>
                  </m:r>
                  <m:ctrlPr>
                    <w:rPr>
                      <w:rFonts w:ascii="Cambria Math" w:hAnsi="Cambria Math"/>
                    </w:rPr>
                  </m:ctrlPr>
                </m:e>
              </m:d>
            </m:e>
          </m:eqArr>
        </m:oMath>
      </m:oMathPara>
    </w:p>
    <w:p w14:paraId="1C02C124" w14:textId="7D3CDC29" w:rsidR="00D6287C" w:rsidRDefault="007716CC" w:rsidP="007716CC">
      <w:pPr>
        <w:pStyle w:val="NoSpacing"/>
        <w:ind w:firstLine="720"/>
        <w:jc w:val="both"/>
        <w:rPr>
          <w:rFonts w:ascii="Times New Roman" w:hAnsi="Times New Roman"/>
        </w:rPr>
      </w:pPr>
      <w:r w:rsidRPr="007716CC">
        <w:rPr>
          <w:rFonts w:ascii="Times New Roman" w:hAnsi="Times New Roman"/>
        </w:rPr>
        <w:t>When both</w:t>
      </w:r>
      <w:r w:rsidR="00BD5138">
        <w:rPr>
          <w:rFonts w:ascii="Times New Roman" w:hAnsi="Times New Roman"/>
        </w:rPr>
        <w:t xml:space="preserve"> CO</w:t>
      </w:r>
      <w:r w:rsidR="00BD5138" w:rsidRPr="00BD5138">
        <w:rPr>
          <w:rFonts w:ascii="Times New Roman" w:hAnsi="Times New Roman"/>
          <w:vertAlign w:val="subscript"/>
        </w:rPr>
        <w:t>2,mol</w:t>
      </w:r>
      <w:r w:rsidRPr="007716CC">
        <w:rPr>
          <w:rFonts w:ascii="Times New Roman" w:hAnsi="Times New Roman"/>
        </w:rPr>
        <w:t xml:space="preserve"> and </w:t>
      </w:r>
      <w:r w:rsidR="00BD5138">
        <w:rPr>
          <w:rFonts w:ascii="Times New Roman" w:hAnsi="Times New Roman"/>
        </w:rPr>
        <w:t>CO</w:t>
      </w:r>
      <w:r w:rsidR="00BD5138" w:rsidRPr="00BD5138">
        <w:rPr>
          <w:rFonts w:ascii="Times New Roman" w:hAnsi="Times New Roman"/>
          <w:vertAlign w:val="subscript"/>
        </w:rPr>
        <w:t>3</w:t>
      </w:r>
      <w:r w:rsidR="00BD5138" w:rsidRPr="00BD5138">
        <w:rPr>
          <w:rFonts w:ascii="Times New Roman" w:hAnsi="Times New Roman"/>
          <w:vertAlign w:val="superscript"/>
        </w:rPr>
        <w:t>2-</w:t>
      </w:r>
      <w:r w:rsidRPr="007716CC">
        <w:rPr>
          <w:rFonts w:ascii="Times New Roman" w:hAnsi="Times New Roman"/>
        </w:rPr>
        <w:t xml:space="preserve"> are present (e.g., andesites and dacites</w:t>
      </w:r>
      <w:r w:rsidR="00A70704">
        <w:rPr>
          <w:rFonts w:ascii="Times New Roman" w:hAnsi="Times New Roman"/>
        </w:rPr>
        <w:t xml:space="preserve">; </w:t>
      </w:r>
      <w:r w:rsidR="00A70704">
        <w:rPr>
          <w:rFonts w:ascii="Times New Roman" w:hAnsi="Times New Roman"/>
        </w:rPr>
        <w:fldChar w:fldCharType="begin" w:fldLock="1"/>
      </w:r>
      <w:r w:rsidR="000F0BD4">
        <w:rPr>
          <w:rFonts w:ascii="Times New Roman" w:hAnsi="Times New Roman"/>
        </w:rPr>
        <w:instrText>ADDIN CSL_CITATION {"citationItems":[{"id":"ITEM-1","itemData":{"DOI":"10.1016/J.CHEMGEO.2006.01.016","ISSN":"0009-2541","abstract":"The solubility and speciation of C–O–H fluids in andesitic melts were experimentally investigated at 1100–1300°C and 200, 500MPa. Solubilities of H2O and CO2 increase with pressure and the maximum solubility values are 5.5 and 10.0wt.% H2O and 2200 and 4500ppm CO2 at 200 and500MPa, respectively. The effect of temperature on the solubility of C–O–H fluids is not resolved from the obtained data. The solubility values for CO2-rich fluid in andesitic melts at 200 and 500MPa are similar to the data for tholeiitic, dacitic and rhyolitic melts having compositions falling along an inverse linear trend on the (Ca+Mg+Fe) cation fraction vs. (Na+K)/(Si+Al) ratio diagram. This indicates that for these melts the decrease in the proportion of reactive oxygens (or network-modifiers), which are responsible for the incorporation of carbonate species, can be compensated in a certain degree by an increase in ionic porosity of polymerized melts, favoring the incorporation of molecular CO2. The speciation of water and carbon in quenched glasses depends strongly on total water content (CH2Otot). The CH2Omol/CH2Otot ratio increases from about 0.1 to 0.7 with CH2Otot varying from 0.8 to 8wt.%. The proportion of CO2mol decreases nonlinearly from 0.033 to almost 0 in the same range of CH2Otot. The observed change in speciation can be attributed to the effect of water on the glass transition temperature, i.e. to the conditions at which the speciation can be frozen in. The log-form of reaction constants K1 and K2 for water and carbon speciation in glasses show well-defined Arrhenian dependences on reciprocal fictive temperature of the glass, consistent with the assumption that water and carbon species are frozen in at the glass transition.","author":[{"dropping-particle":"","family":"Botcharnikov","given":"Roman E.","non-dropping-particle":"","parse-names":false,"suffix":""},{"dropping-particle":"","family":"Behrens","given":"H.","non-dropping-particle":"","parse-names":false,"suffix":""},{"dropping-particle":"","family":"Holtz","given":"F.","non-dropping-particle":"","parse-names":false,"suffix":""}],"container-title":"Chemical Geology","id":"ITEM-1","issue":"1-3","issued":{"date-parts":[["2006","5","16"]]},"page":"125-143","publisher":"Elsevier","title":"Solubility and speciation of C–O–H fluids in andesitic melt at T = 1100–1300 °C and P = 200 and 500 MPa","type":"article-journal","volume":"229"},"uris":["http://www.mendeley.com/documents/?uuid=61455125-84c0-3f31-9be0-77dac2828e26"]},{"id":"ITEM-2","itemData":{"DOI":"10.1007/S00410-014-0998-2/FIGURES/14","ISSN":"00107999","abstract":"The speciation of CO2 in dacite, phonolite, basaltic andesite, and alkali silicate melt was studied by synchrotron infrared spectroscopy in diamond anvil cells to 1,000 °C and more than 200 kbar. Upon compression to 110 kbar at room temperature, a conversion of molecular CO2 into a metastable carbonate species was observed for dacite and phonolite glass. Upon heating under high pressure, molecular CO2 re-appeared. Infrared extinction coefficients of both carbonate and molecular CO2 decrease with temperature. This effect can be quantitatively modeled as the result of a reduced occupancy of the vibrational ground state. In alkali silicate (NBO/t = 0.98) and basaltic andesite (NBO/t = 0.42) melt, only carbonate was detected up to the highest temperatures studied. For dacite (NBO/t = 0.09) and phonolite melts (NBO/t = 0.14), the equilibrium CO2 + O2- = CO32- in the melt shifts toward CO2 with increasing temperature, with ln K = -4.57 (±1.68) + 5.05 (±1.44) 103 T -1 for dacite melt (ΔH = -42 kJ mol-1) and ln K = -6.13 (±2.41) + 7.82 (±2.41) 103 T -1 for phonolite melt (ΔH = -65 kJ mol-1), where K is the molar ratio of carbonate over molecular CO2 and T is temperature in Kelvin. Together with published data from annealing experiments, these results suggest that ΔS and ΔH are linear functions of NBO/t. Based on this relationship, a general model for CO2 speciation in silicate melts is developed, with ln K = a + b/T, where T is temperature in Kelvin and a = -2.69 - 21.38 (NBO/t), b = 1,480 + 38,810 (NBO/t). The model shows that at temperatures around 1,500 °C, even depolymerized melts such as basalt contain appreciable amounts of molecular CO2, and therefore, the diffusion coefficient of CO2 is only slightly dependent on composition at such high temperatures. However, at temperatures close to 1,000 °C, the model predicts a much stronger dependence of CO2 solubility and speciation on melt composition, in accordance with available solubility data. © 2014 Springer-Verlag Berlin Heidelberg.","author":[{"dropping-particle":"","family":"Konschak","given":"Alexander","non-dropping-particle":"","parse-names":false,"suffix":""},{"dropping-particle":"","family":"Keppler","given":"Hans","non-dropping-particle":"","parse-names":false,"suffix":""}],"container-title":"Contributions to Mineralogy and Petrology","id":"ITEM-2","issue":"5","issued":{"date-parts":[["2014","4","20"]]},"page":"1-13","publisher":"Springer Verlag","title":"The speciation of carbon dioxide in silicate melts","type":"article-journal","volume":"167"},"uris":["http://www.mendeley.com/documents/?uuid=e4355666-8967-358c-a841-7ab22ee91123"]},{"id":"ITEM-3","itemData":{"DOI":"10.1016/J.GCA.2004.04.019","ISSN":"0016-7037","abstract":"The solubility of CO2 in dacitic melts equilibrated with H2O-CO2 fluids was experimentally investigated at 1250°C and 100 to 500 MPa. CO2 is dissolved in dacitic glasses as molecular CO2 and carbonate. The quantification of total CO2 in the glasses by mid-infrared (MIR) spectroscopy is difficult because the weak carbonate bands at 1430 and 1530 cm-1 can not be reliably separated from background features in the spectra. Furthermore, the ratio of CO2,mol/carbonate in the quenched glasses strongly decreases with increasing water content. Due to the difficulties in quantifying CO2 species concentrations from the MIR spectra we have measured total CO2 contents of dacitic glasses by secondary ion mass spectrometry (SIMS). At all pressures, the dependence of CO2 solubility in dacitic melts on xfluidCO2,total shows a strong positive deviation from linearity with almost constant CO2 solubility at xCO2fluid &gt; 0.8 (maximum CO2 solubility of 795 ± 41, 1376 ± 73 and 2949 ± 166 ppm at 100, 200 and 500 MPa, respectively), indicating that dissolved water strongly enhances the solubility of CO2. A similar nonlinear variation of CO2 solubility with XCO2fluid has been observed for rhyolitic melts in which carbon dioxide is incorporated exclusively as molecular CO2 (Tamic et al., 2001 ). We infer that water species in the melt do not only stabilize carbonate groups as has been suggested earlier but also CO2 molecules. A thermodynamic model describing the dependen ce of the CO2 solubility in hydrous rhyolitic and dacitic melts on T, P, fCO2 and the mol fraction of water in the melt (xwater) has been developed. An exponential variation of the equilibrium constant K1 with xwater is proposed to account for the nonlinear dependence of xCO2,totalmelt on xCO2fluid. The model reproduces the CO2 solubility data for dacitic melts within ±14% relative and the data for rhyolitic melts within 10% relative in the pressure range 100-500 MPa (except for six outliers at low xCO2fluid). Data obtained for rhyolitic melts at 75 MPa and 850°C show a stronger deviation from the model, suggesting a change in the solubility behavior of CO2 at low pressures (a Henrian behavior of the CO2 solubility is observed at low pressure and low H2O concentrations in the melt). We recommend to use our model only in the pressure range 100-500 MPa and in the xCO2fluid range 0.1-0.95. The thermodynamic modeling indicates that the partial molar volume of total CO2 is much lower in rhyolitic melts (31.7 cm3/mol) t…","author":[{"dropping-particle":"","family":"Behrens","given":"Harald","non-dropping-particle":"","parse-names":false,"suffix":""},{"dropping-particle":"","family":"Ohlhorst","given":"Susanne","non-dropping-particle":"","parse-names":false,"suffix":""},{"dropping-particle":"","family":"Holtz","given":"Francois","non-dropping-particle":"","parse-names":false,"suffix":""},{"dropping-particle":"","family":"Champenois","given":"Michel","non-dropping-particle":"","parse-names":false,"suffix":""}],"container-title":"Geochimica et Cosmochimica Acta","id":"ITEM-3","issue":"22","issued":{"date-parts":[["2004","11","15"]]},"page":"4687-4703","publisher":"Pergamon","title":"CO2 solubility in dacitic melts equilibrated with H2O-CO2 fluids: Implications for modeling the solubility of CO2 in silicic melts","type":"article-journal","volume":"68"},"uris":["http://www.mendeley.com/documents/?uuid=cbd94690-2bfe-3969-9618-4fea6275c63f"]}],"mendeley":{"formattedCitation":"(Behrens et al., 2004; Botcharnikov et al., 2006; Konschak and Keppler, 2014)","manualFormatting":"Behrens et al., 2004; Botcharnikov et al., 2006; Konschak and Keppler, 2014)","plainTextFormattedCitation":"(Behrens et al., 2004; Botcharnikov et al., 2006; Konschak and Keppler, 2014)","previouslyFormattedCitation":"(Behrens et al., 2004; Botcharnikov et al., 2006; Konschak and Keppler, 2014)"},"properties":{"noteIndex":0},"schema":"https://github.com/citation-style-language/schema/raw/master/csl-citation.json"}</w:instrText>
      </w:r>
      <w:r w:rsidR="00A70704">
        <w:rPr>
          <w:rFonts w:ascii="Times New Roman" w:hAnsi="Times New Roman"/>
        </w:rPr>
        <w:fldChar w:fldCharType="separate"/>
      </w:r>
      <w:r w:rsidR="000F0BD4" w:rsidRPr="000F0BD4">
        <w:rPr>
          <w:rFonts w:ascii="Times New Roman" w:hAnsi="Times New Roman"/>
          <w:noProof/>
        </w:rPr>
        <w:t>Behrens et al., 2004; Botcharnikov et al., 2006; Konschak and Keppler, 2014)</w:t>
      </w:r>
      <w:r w:rsidR="00A70704">
        <w:rPr>
          <w:rFonts w:ascii="Times New Roman" w:hAnsi="Times New Roman"/>
        </w:rPr>
        <w:fldChar w:fldCharType="end"/>
      </w:r>
      <w:r w:rsidRPr="007716CC">
        <w:rPr>
          <w:rFonts w:ascii="Times New Roman" w:hAnsi="Times New Roman"/>
        </w:rPr>
        <w:t>,</w:t>
      </w:r>
      <w:r w:rsidR="00D6287C">
        <w:rPr>
          <w:rFonts w:ascii="Times New Roman" w:hAnsi="Times New Roman"/>
        </w:rPr>
        <w:t xml:space="preserve"> the total amount of </w:t>
      </w:r>
      <w:r w:rsidR="006E5D37">
        <w:rPr>
          <w:rFonts w:ascii="Times New Roman" w:hAnsi="Times New Roman"/>
        </w:rPr>
        <w:t xml:space="preserve">oxidised </w:t>
      </w:r>
      <w:r w:rsidR="00D6287C">
        <w:rPr>
          <w:rFonts w:ascii="Times New Roman" w:hAnsi="Times New Roman"/>
        </w:rPr>
        <w:t>carbon in the melt is the sum for the amount of</w:t>
      </w:r>
      <w:r w:rsidR="00BD5138">
        <w:rPr>
          <w:rFonts w:ascii="Times New Roman" w:hAnsi="Times New Roman"/>
        </w:rPr>
        <w:t xml:space="preserve"> CO</w:t>
      </w:r>
      <w:r w:rsidR="00BD5138" w:rsidRPr="00B016E9">
        <w:rPr>
          <w:rFonts w:ascii="Times New Roman" w:hAnsi="Times New Roman"/>
          <w:vertAlign w:val="subscript"/>
        </w:rPr>
        <w:t>2,mol</w:t>
      </w:r>
      <w:r w:rsidR="00D6287C" w:rsidRPr="007716CC">
        <w:rPr>
          <w:rFonts w:ascii="Times New Roman" w:hAnsi="Times New Roman"/>
        </w:rPr>
        <w:t xml:space="preserve"> and </w:t>
      </w:r>
      <w:r w:rsidR="00BD5138">
        <w:rPr>
          <w:rFonts w:ascii="Times New Roman" w:hAnsi="Times New Roman"/>
        </w:rPr>
        <w:t>CO</w:t>
      </w:r>
      <w:r w:rsidR="00BD5138" w:rsidRPr="00B016E9">
        <w:rPr>
          <w:rFonts w:ascii="Times New Roman" w:hAnsi="Times New Roman"/>
          <w:vertAlign w:val="subscript"/>
        </w:rPr>
        <w:t>3</w:t>
      </w:r>
      <w:r w:rsidR="00BD5138" w:rsidRPr="00B016E9">
        <w:rPr>
          <w:rFonts w:ascii="Times New Roman" w:hAnsi="Times New Roman"/>
          <w:vertAlign w:val="superscript"/>
        </w:rPr>
        <w:t>2-</w:t>
      </w:r>
      <w:r w:rsidR="00D6287C">
        <w:rPr>
          <w:rFonts w:ascii="Times New Roman" w:hAnsi="Times New Roman"/>
        </w:rPr>
        <w:t>:</w:t>
      </w:r>
    </w:p>
    <w:p w14:paraId="5112E4F7" w14:textId="1F9048FE" w:rsidR="00D6287C" w:rsidRPr="00D6287C" w:rsidRDefault="00063B50" w:rsidP="00D6287C">
      <w:pPr>
        <w:pStyle w:val="equation"/>
        <w:rPr>
          <w:rFonts w:ascii="Times New Roman" w:hAnsi="Times New Roman"/>
          <w:i/>
        </w:rPr>
      </w:pPr>
      <m:oMathPara>
        <m:oMath>
          <m:eqArr>
            <m:eqArrPr>
              <m:maxDist m:val="1"/>
              <m:ctrlPr>
                <w:rPr>
                  <w:rFonts w:ascii="Cambria Math" w:hAnsi="Cambria Math"/>
                  <w:i/>
                </w:rPr>
              </m:ctrlPr>
            </m:eqArrPr>
            <m:e>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sub>
                <m:sup>
                  <m:r>
                    <w:rPr>
                      <w:rFonts w:ascii="Cambria Math" w:hAnsi="Cambria Math"/>
                    </w:rPr>
                    <m:t>m</m:t>
                  </m:r>
                </m:sup>
              </m:sSubSup>
              <m:r>
                <m:rPr>
                  <m:sty m:val="p"/>
                </m:rPr>
                <w:rPr>
                  <w:rFonts w:ascii="Cambria Math" w:hAnsi="Cambria Math"/>
                </w:rPr>
                <m:t>=</m:t>
              </m:r>
              <m:sSubSup>
                <m:sSubSupPr>
                  <m:ctrlPr>
                    <w:rPr>
                      <w:rFonts w:ascii="Cambria Math" w:hAnsi="Cambria Math"/>
                    </w:rPr>
                  </m:ctrlPr>
                </m:sSubSupPr>
                <m:e>
                  <m:r>
                    <w:rPr>
                      <w:rFonts w:ascii="Cambria Math" w:hAnsi="Cambria Math"/>
                    </w:rPr>
                    <m:t>x</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r>
                <w:rPr>
                  <w:rFonts w:ascii="Cambria Math" w:hAnsi="Cambria Math"/>
                </w:rPr>
                <m:t>+</m:t>
              </m:r>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r>
                <w:rPr>
                  <w:rFonts w:ascii="Cambria Math" w:hAnsi="Cambria Math"/>
                </w:rPr>
                <m:t>. #</m:t>
              </m:r>
              <m:d>
                <m:dPr>
                  <m:ctrlPr>
                    <w:rPr>
                      <w:rFonts w:ascii="Cambria Math" w:hAnsi="Cambria Math"/>
                      <w:i/>
                    </w:rPr>
                  </m:ctrlPr>
                </m:dPr>
                <m:e>
                  <m:r>
                    <m:rPr>
                      <m:sty m:val="p"/>
                    </m:rPr>
                    <w:rPr>
                      <w:rFonts w:ascii="Cambria Math" w:hAnsi="Cambria Math"/>
                    </w:rPr>
                    <m:t>S9</m:t>
                  </m:r>
                  <m:ctrlPr>
                    <w:rPr>
                      <w:rFonts w:ascii="Cambria Math" w:hAnsi="Cambria Math"/>
                    </w:rPr>
                  </m:ctrlPr>
                </m:e>
              </m:d>
            </m:e>
          </m:eqArr>
        </m:oMath>
      </m:oMathPara>
    </w:p>
    <w:p w14:paraId="4D0BACD2" w14:textId="7D4D09CB" w:rsidR="007716CC" w:rsidRPr="007716CC" w:rsidRDefault="00B47EC1" w:rsidP="00B47EC1">
      <w:pPr>
        <w:pStyle w:val="NoSpacing"/>
        <w:jc w:val="both"/>
        <w:rPr>
          <w:rFonts w:ascii="Times New Roman" w:hAnsi="Times New Roman"/>
        </w:rPr>
      </w:pPr>
      <w:r>
        <w:rPr>
          <w:rFonts w:ascii="Times New Roman" w:hAnsi="Times New Roman"/>
        </w:rPr>
        <w:lastRenderedPageBreak/>
        <w:t>W</w:t>
      </w:r>
      <w:r w:rsidR="007716CC" w:rsidRPr="007716CC">
        <w:rPr>
          <w:rFonts w:ascii="Times New Roman" w:hAnsi="Times New Roman"/>
        </w:rPr>
        <w:t>e can subtract equation (</w:t>
      </w:r>
      <w:r w:rsidR="003C231C">
        <w:rPr>
          <w:rFonts w:ascii="Times New Roman" w:hAnsi="Times New Roman"/>
        </w:rPr>
        <w:t>S</w:t>
      </w:r>
      <w:r w:rsidR="006E5D37" w:rsidRPr="006E5D37">
        <w:rPr>
          <w:rFonts w:ascii="Times New Roman" w:hAnsi="Times New Roman"/>
          <w:color w:val="000000" w:themeColor="text1"/>
        </w:rPr>
        <w:t>1</w:t>
      </w:r>
      <w:r w:rsidR="007716CC" w:rsidRPr="007716CC">
        <w:rPr>
          <w:rFonts w:ascii="Times New Roman" w:hAnsi="Times New Roman"/>
        </w:rPr>
        <w:t>) from equation (</w:t>
      </w:r>
      <w:r w:rsidR="003C231C">
        <w:rPr>
          <w:rFonts w:ascii="Times New Roman" w:hAnsi="Times New Roman"/>
        </w:rPr>
        <w:t>S</w:t>
      </w:r>
      <w:r w:rsidR="007E263D">
        <w:rPr>
          <w:rFonts w:ascii="Times New Roman" w:hAnsi="Times New Roman"/>
          <w:color w:val="000000" w:themeColor="text1"/>
        </w:rPr>
        <w:t>6</w:t>
      </w:r>
      <w:r w:rsidR="007716CC" w:rsidRPr="007716CC">
        <w:rPr>
          <w:rFonts w:ascii="Times New Roman" w:hAnsi="Times New Roman"/>
        </w:rPr>
        <w:t>) to generate the following homogeneous melt equilibrium and its associated equilibrium constant</w:t>
      </w:r>
      <w:r w:rsidR="006E5D37">
        <w:rPr>
          <w:rFonts w:ascii="Times New Roman" w:hAnsi="Times New Roman"/>
        </w:rPr>
        <w:t>:</w:t>
      </w:r>
    </w:p>
    <w:p w14:paraId="53F1CFED" w14:textId="0F7DA291" w:rsidR="007716CC" w:rsidRPr="007716CC" w:rsidRDefault="00063B50" w:rsidP="007716CC">
      <w:pPr>
        <w:pStyle w:val="equation"/>
        <w:rPr>
          <w:rFonts w:ascii="Times New Roman" w:hAnsi="Times New Roman"/>
          <w:i/>
        </w:rPr>
      </w:pPr>
      <m:oMathPara>
        <m:oMath>
          <m:eqArr>
            <m:eqArrPr>
              <m:maxDist m:val="1"/>
              <m:ctrlPr>
                <w:rPr>
                  <w:rFonts w:ascii="Cambria Math" w:hAnsi="Cambria Math"/>
                  <w:i/>
                </w:rPr>
              </m:ctrlPr>
            </m:eqArrPr>
            <m:e>
              <m:r>
                <m:rPr>
                  <m:sty m:val="p"/>
                </m:rPr>
                <w:rPr>
                  <w:rFonts w:ascii="Cambria Math" w:hAnsi="Cambria Math"/>
                </w:rPr>
                <m:t>C</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2,mol</m:t>
                  </m:r>
                </m:sub>
              </m:sSub>
              <m:d>
                <m:dPr>
                  <m:ctrlPr>
                    <w:rPr>
                      <w:rFonts w:ascii="Cambria Math" w:hAnsi="Cambria Math"/>
                    </w:rPr>
                  </m:ctrlPr>
                </m:dPr>
                <m:e>
                  <m:r>
                    <w:rPr>
                      <w:rFonts w:ascii="Cambria Math" w:hAnsi="Cambria Math"/>
                    </w:rPr>
                    <m:t>m</m:t>
                  </m:r>
                </m:e>
              </m:d>
              <m:r>
                <m:rPr>
                  <m:sty m:val="p"/>
                </m:rPr>
                <w:rPr>
                  <w:rFonts w:ascii="Cambria Math" w:hAnsi="Cambria Math"/>
                </w:rPr>
                <m:t>+</m:t>
              </m:r>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S10</m:t>
                  </m:r>
                  <m:ctrlPr>
                    <w:rPr>
                      <w:rFonts w:ascii="Cambria Math" w:hAnsi="Cambria Math"/>
                    </w:rPr>
                  </m:ctrlPr>
                </m:e>
              </m:d>
            </m:e>
          </m:eqArr>
        </m:oMath>
      </m:oMathPara>
    </w:p>
    <w:p w14:paraId="7EC2968E" w14:textId="61D244DA" w:rsidR="007716CC" w:rsidRPr="007716CC" w:rsidRDefault="00063B50" w:rsidP="007716CC">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m:rPr>
                      <m:sty m:val="p"/>
                    </m:rPr>
                    <w:rPr>
                      <w:rFonts w:ascii="Cambria Math" w:hAnsi="Cambria Math"/>
                    </w:rPr>
                    <m:t xml:space="preserve"> </m:t>
                  </m:r>
                  <m:sSub>
                    <m:sSubPr>
                      <m:ctrlPr>
                        <w:rPr>
                          <w:rFonts w:ascii="Cambria Math" w:hAnsi="Cambria Math"/>
                          <w:i/>
                        </w:rPr>
                      </m:ctrlPr>
                    </m:sSubPr>
                    <m:e>
                      <m:r>
                        <w:rPr>
                          <w:rFonts w:ascii="Cambria Math" w:hAnsi="Cambria Math"/>
                        </w:rPr>
                        <m:t>a</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den>
              </m:f>
              <m: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r>
                    <w:rPr>
                      <w:rFonts w:ascii="Cambria Math" w:hAnsi="Cambria Math"/>
                    </w:rPr>
                    <m:t xml:space="preserve"> </m:t>
                  </m:r>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den>
              </m:f>
              <m:r>
                <w:rPr>
                  <w:rFonts w:ascii="Cambria Math" w:hAnsi="Cambria Math"/>
                </w:rPr>
                <m:t>, #</m:t>
              </m:r>
              <m:d>
                <m:dPr>
                  <m:ctrlPr>
                    <w:rPr>
                      <w:rFonts w:ascii="Cambria Math" w:hAnsi="Cambria Math"/>
                      <w:i/>
                    </w:rPr>
                  </m:ctrlPr>
                </m:dPr>
                <m:e>
                  <m:r>
                    <m:rPr>
                      <m:sty m:val="p"/>
                    </m:rPr>
                    <w:rPr>
                      <w:rFonts w:ascii="Cambria Math" w:hAnsi="Cambria Math"/>
                    </w:rPr>
                    <m:t>S11</m:t>
                  </m:r>
                </m:e>
              </m:d>
            </m:e>
          </m:eqArr>
        </m:oMath>
      </m:oMathPara>
    </w:p>
    <w:p w14:paraId="0A16AF2A" w14:textId="5AA85787" w:rsidR="007716CC" w:rsidRDefault="007716CC" w:rsidP="007716CC">
      <w:pPr>
        <w:pStyle w:val="NoSpacing"/>
        <w:jc w:val="both"/>
        <w:rPr>
          <w:rFonts w:ascii="Times New Roman" w:hAnsi="Times New Roman"/>
        </w:rPr>
      </w:pPr>
      <w:r w:rsidRPr="007716CC">
        <w:rPr>
          <w:rFonts w:ascii="Times New Roman" w:hAnsi="Times New Roman"/>
        </w:rPr>
        <w:t>where there is only a single type of reactive O</w:t>
      </w:r>
      <w:r w:rsidRPr="007716CC">
        <w:rPr>
          <w:rFonts w:ascii="Times New Roman" w:hAnsi="Times New Roman"/>
          <w:vertAlign w:val="superscript"/>
        </w:rPr>
        <w:t>2-</w:t>
      </w:r>
      <w:r w:rsidRPr="007716CC">
        <w:rPr>
          <w:rFonts w:ascii="Times New Roman" w:hAnsi="Times New Roman"/>
        </w:rPr>
        <w:t xml:space="preserve"> to describe the conversion of </w:t>
      </w:r>
      <w:proofErr w:type="gramStart"/>
      <w:r w:rsidR="00BD5138">
        <w:rPr>
          <w:rFonts w:ascii="Times New Roman" w:hAnsi="Times New Roman"/>
        </w:rPr>
        <w:t>CO</w:t>
      </w:r>
      <w:r w:rsidR="00BD5138" w:rsidRPr="00B016E9">
        <w:rPr>
          <w:rFonts w:ascii="Times New Roman" w:hAnsi="Times New Roman"/>
          <w:vertAlign w:val="subscript"/>
        </w:rPr>
        <w:t>2,mol</w:t>
      </w:r>
      <w:proofErr w:type="gramEnd"/>
      <w:r w:rsidRPr="007716CC">
        <w:rPr>
          <w:rFonts w:ascii="Times New Roman" w:hAnsi="Times New Roman"/>
        </w:rPr>
        <w:t xml:space="preserve"> to </w:t>
      </w:r>
      <w:r w:rsidR="00BD5138">
        <w:rPr>
          <w:rFonts w:ascii="Times New Roman" w:hAnsi="Times New Roman"/>
        </w:rPr>
        <w:t>CO</w:t>
      </w:r>
      <w:r w:rsidR="00BD5138" w:rsidRPr="00B016E9">
        <w:rPr>
          <w:rFonts w:ascii="Times New Roman" w:hAnsi="Times New Roman"/>
          <w:vertAlign w:val="subscript"/>
        </w:rPr>
        <w:t>3</w:t>
      </w:r>
      <w:r w:rsidR="00BD5138" w:rsidRPr="00B016E9">
        <w:rPr>
          <w:rFonts w:ascii="Times New Roman" w:hAnsi="Times New Roman"/>
          <w:vertAlign w:val="superscript"/>
        </w:rPr>
        <w:t>2-</w:t>
      </w:r>
      <w:r w:rsidRPr="007716CC">
        <w:rPr>
          <w:rFonts w:ascii="Times New Roman" w:hAnsi="Times New Roman"/>
        </w:rPr>
        <w:t xml:space="preserve"> within the silicate melt. </w:t>
      </w:r>
      <w:r w:rsidR="00E0491E">
        <w:rPr>
          <w:rFonts w:ascii="Times New Roman" w:hAnsi="Times New Roman"/>
        </w:rPr>
        <w:t>By combining the activity coefficients, equilibrium constants, and oxide concentration</w:t>
      </w:r>
      <w:r w:rsidR="00D6287C">
        <w:rPr>
          <w:rFonts w:ascii="Times New Roman" w:hAnsi="Times New Roman"/>
        </w:rPr>
        <w:t>, this becomes:</w:t>
      </w:r>
    </w:p>
    <w:p w14:paraId="2A4DFFDA" w14:textId="0732CB4F" w:rsidR="00D6287C" w:rsidRPr="007716CC" w:rsidRDefault="00063B50" w:rsidP="00D6287C">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C</m:t>
                  </m:r>
                </m:e>
                <m:sub>
                  <m:sSubSup>
                    <m:sSubSupPr>
                      <m:ctrlPr>
                        <w:rPr>
                          <w:rFonts w:ascii="Cambria Math" w:hAnsi="Cambria Math"/>
                        </w:rPr>
                      </m:ctrlPr>
                    </m:sSubSupPr>
                    <m:e>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r>
                <m:rPr>
                  <m:sty m:val="p"/>
                </m:rPr>
                <w:rPr>
                  <w:rFonts w:ascii="Cambria Math" w:hAnsi="Cambria Math"/>
                </w:rPr>
                <m:t>=</m:t>
              </m:r>
              <m:f>
                <m:fPr>
                  <m:ctrlPr>
                    <w:rPr>
                      <w:rFonts w:ascii="Cambria Math" w:hAnsi="Cambria Math"/>
                    </w:rPr>
                  </m:ctrlPr>
                </m:fPr>
                <m:num>
                  <m:r>
                    <w:rPr>
                      <w:rFonts w:ascii="Cambria Math" w:hAnsi="Cambria Math"/>
                    </w:rPr>
                    <m:t xml:space="preserve"> </m:t>
                  </m:r>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den>
              </m:f>
              <m:r>
                <w:rPr>
                  <w:rFonts w:ascii="Cambria Math" w:hAnsi="Cambria Math"/>
                </w:rPr>
                <m:t>, #</m:t>
              </m:r>
              <m:d>
                <m:dPr>
                  <m:ctrlPr>
                    <w:rPr>
                      <w:rFonts w:ascii="Cambria Math" w:hAnsi="Cambria Math"/>
                      <w:i/>
                    </w:rPr>
                  </m:ctrlPr>
                </m:dPr>
                <m:e>
                  <m:r>
                    <m:rPr>
                      <m:sty m:val="p"/>
                    </m:rPr>
                    <w:rPr>
                      <w:rFonts w:ascii="Cambria Math" w:hAnsi="Cambria Math"/>
                    </w:rPr>
                    <m:t>S12</m:t>
                  </m:r>
                </m:e>
              </m:d>
            </m:e>
          </m:eqArr>
        </m:oMath>
      </m:oMathPara>
    </w:p>
    <w:p w14:paraId="234A8F30" w14:textId="304268FD" w:rsidR="007716CC" w:rsidRPr="007716CC" w:rsidRDefault="007716CC" w:rsidP="007716CC">
      <w:pPr>
        <w:pStyle w:val="NoSpacing"/>
        <w:ind w:firstLine="720"/>
        <w:jc w:val="both"/>
        <w:rPr>
          <w:rFonts w:ascii="Times New Roman" w:hAnsi="Times New Roman"/>
        </w:rPr>
      </w:pPr>
      <w:r w:rsidRPr="007716CC">
        <w:rPr>
          <w:rFonts w:ascii="Times New Roman" w:hAnsi="Times New Roman"/>
        </w:rPr>
        <w:t xml:space="preserve">Using pair-wise combinations of equations </w:t>
      </w:r>
      <w:r w:rsidRPr="006E5D37">
        <w:rPr>
          <w:rFonts w:ascii="Times New Roman" w:hAnsi="Times New Roman"/>
          <w:color w:val="000000" w:themeColor="text1"/>
        </w:rPr>
        <w:t>(</w:t>
      </w:r>
      <w:r w:rsidR="003C231C">
        <w:rPr>
          <w:rFonts w:ascii="Times New Roman" w:hAnsi="Times New Roman"/>
          <w:color w:val="000000" w:themeColor="text1"/>
        </w:rPr>
        <w:t>S</w:t>
      </w:r>
      <w:r w:rsidR="006E5D37" w:rsidRPr="006E5D37">
        <w:rPr>
          <w:rFonts w:ascii="Times New Roman" w:hAnsi="Times New Roman"/>
          <w:color w:val="000000" w:themeColor="text1"/>
        </w:rPr>
        <w:t>3</w:t>
      </w:r>
      <w:r w:rsidRPr="006E5D37">
        <w:rPr>
          <w:rFonts w:ascii="Times New Roman" w:hAnsi="Times New Roman"/>
          <w:color w:val="000000" w:themeColor="text1"/>
        </w:rPr>
        <w:t xml:space="preserve">, </w:t>
      </w:r>
      <w:r w:rsidR="003C231C">
        <w:rPr>
          <w:rFonts w:ascii="Times New Roman" w:hAnsi="Times New Roman"/>
          <w:color w:val="000000" w:themeColor="text1"/>
        </w:rPr>
        <w:t>S</w:t>
      </w:r>
      <w:r w:rsidR="007E263D">
        <w:rPr>
          <w:rFonts w:ascii="Times New Roman" w:hAnsi="Times New Roman"/>
          <w:color w:val="000000" w:themeColor="text1"/>
        </w:rPr>
        <w:t>6</w:t>
      </w:r>
      <w:r w:rsidRPr="006E5D37">
        <w:rPr>
          <w:rFonts w:ascii="Times New Roman" w:hAnsi="Times New Roman"/>
          <w:color w:val="000000" w:themeColor="text1"/>
        </w:rPr>
        <w:t xml:space="preserve">, and </w:t>
      </w:r>
      <w:r w:rsidR="003C231C">
        <w:rPr>
          <w:rFonts w:ascii="Times New Roman" w:hAnsi="Times New Roman"/>
          <w:color w:val="000000" w:themeColor="text1"/>
        </w:rPr>
        <w:t>S</w:t>
      </w:r>
      <w:r w:rsidR="00F92A05" w:rsidRPr="006E5D37">
        <w:rPr>
          <w:rFonts w:ascii="Times New Roman" w:hAnsi="Times New Roman"/>
          <w:color w:val="000000" w:themeColor="text1"/>
        </w:rPr>
        <w:t>1</w:t>
      </w:r>
      <w:r w:rsidR="00F92A05">
        <w:rPr>
          <w:rFonts w:ascii="Times New Roman" w:hAnsi="Times New Roman"/>
          <w:color w:val="000000" w:themeColor="text1"/>
        </w:rPr>
        <w:t>2</w:t>
      </w:r>
      <w:r w:rsidRPr="006E5D37">
        <w:rPr>
          <w:rFonts w:ascii="Times New Roman" w:hAnsi="Times New Roman"/>
          <w:color w:val="000000" w:themeColor="text1"/>
        </w:rPr>
        <w:t>)</w:t>
      </w:r>
      <w:r w:rsidR="00BD5138">
        <w:rPr>
          <w:rFonts w:ascii="Times New Roman" w:hAnsi="Times New Roman"/>
        </w:rPr>
        <w:t xml:space="preserve"> – </w:t>
      </w:r>
      <w:r w:rsidRPr="007716CC">
        <w:rPr>
          <w:rFonts w:ascii="Times New Roman" w:hAnsi="Times New Roman"/>
        </w:rPr>
        <w:t>as only two out of the three reactions are needed to describe the system</w:t>
      </w:r>
      <w:r w:rsidR="00BD5138">
        <w:rPr>
          <w:rFonts w:ascii="Times New Roman" w:hAnsi="Times New Roman"/>
        </w:rPr>
        <w:t xml:space="preserve"> –</w:t>
      </w:r>
      <w:r w:rsidRPr="007716CC">
        <w:rPr>
          <w:rFonts w:ascii="Times New Roman" w:hAnsi="Times New Roman"/>
        </w:rPr>
        <w:t xml:space="preserve"> we obtain:</w:t>
      </w:r>
    </w:p>
    <w:p w14:paraId="7E63EF5D" w14:textId="7EC28DD8" w:rsidR="007716CC" w:rsidRPr="007716CC" w:rsidRDefault="00063B50" w:rsidP="007716CC">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sub>
              </m:sSub>
              <m:r>
                <m:rPr>
                  <m:sty m:val="p"/>
                </m:rPr>
                <w:rPr>
                  <w:rFonts w:ascii="Cambria Math" w:hAnsi="Cambria Math"/>
                </w:rPr>
                <m:t>=</m:t>
              </m:r>
              <m:sSubSup>
                <m:sSubSupPr>
                  <m:ctrlPr>
                    <w:rPr>
                      <w:rFonts w:ascii="Cambria Math" w:hAnsi="Cambria Math"/>
                      <w:i/>
                    </w:rPr>
                  </m:ctrlPr>
                </m:sSubSupPr>
                <m:e>
                  <m:r>
                    <w:rPr>
                      <w:rFonts w:ascii="Cambria Math" w:hAnsi="Cambria Math"/>
                    </w:rPr>
                    <m:t>C</m:t>
                  </m:r>
                </m:e>
                <m:sub>
                  <m:sSub>
                    <m:sSubPr>
                      <m:ctrlPr>
                        <w:rPr>
                          <w:rFonts w:ascii="Cambria Math" w:hAnsi="Cambria Math"/>
                          <w:iCs/>
                        </w:rPr>
                      </m:ctrlPr>
                    </m:sSubPr>
                    <m:e>
                      <m:r>
                        <m:rPr>
                          <m:sty m:val="p"/>
                        </m:rPr>
                        <w:rPr>
                          <w:rFonts w:ascii="Cambria Math" w:hAnsi="Cambria Math"/>
                        </w:rPr>
                        <m:t>CO</m:t>
                      </m:r>
                    </m:e>
                    <m:sub>
                      <m:r>
                        <m:rPr>
                          <m:sty m:val="p"/>
                        </m:rPr>
                        <w:rPr>
                          <w:rFonts w:ascii="Cambria Math" w:hAnsi="Cambria Math"/>
                        </w:rPr>
                        <m:t>2</m:t>
                      </m:r>
                    </m:sub>
                  </m:sSub>
                </m:sub>
                <m:sup>
                  <m:r>
                    <w:rPr>
                      <w:rFonts w:ascii="Cambria Math" w:hAnsi="Cambria Math"/>
                    </w:rPr>
                    <m:t>'</m:t>
                  </m:r>
                </m:sup>
              </m:sSubSup>
              <m:d>
                <m:dPr>
                  <m:ctrlPr>
                    <w:rPr>
                      <w:rFonts w:ascii="Cambria Math" w:hAnsi="Cambria Math"/>
                    </w:rPr>
                  </m:ctrlPr>
                </m:dPr>
                <m:e>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up>
                      <m:r>
                        <w:rPr>
                          <w:rFonts w:ascii="Cambria Math" w:hAnsi="Cambria Math"/>
                        </w:rPr>
                        <m:t>m</m:t>
                      </m:r>
                    </m:sup>
                  </m:sSubSup>
                  <m:r>
                    <w:rPr>
                      <w:rFonts w:ascii="Cambria Math" w:hAnsi="Cambria Math"/>
                    </w:rPr>
                    <m:t>+</m:t>
                  </m:r>
                  <m:sSubSup>
                    <m:sSubSupPr>
                      <m:ctrlPr>
                        <w:rPr>
                          <w:rFonts w:ascii="Cambria Math" w:hAnsi="Cambria Math"/>
                        </w:rPr>
                      </m:ctrlPr>
                    </m:sSubSupPr>
                    <m:e>
                      <m:r>
                        <w:rPr>
                          <w:rFonts w:ascii="Cambria Math" w:hAnsi="Cambria Math"/>
                        </w:rPr>
                        <m:t>x</m:t>
                      </m:r>
                    </m:e>
                    <m:sub>
                      <m:r>
                        <m:rPr>
                          <m:sty m:val="p"/>
                        </m:rPr>
                        <w:rPr>
                          <w:rFonts w:ascii="Cambria Math" w:hAnsi="Cambria Math"/>
                        </w:rPr>
                        <m:t>C</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3</m:t>
                          </m:r>
                        </m:sub>
                        <m:sup>
                          <m:r>
                            <m:rPr>
                              <m:sty m:val="p"/>
                            </m:rPr>
                            <w:rPr>
                              <w:rFonts w:ascii="Cambria Math" w:hAnsi="Cambria Math"/>
                            </w:rPr>
                            <m:t>2-</m:t>
                          </m:r>
                        </m:sup>
                      </m:sSubSup>
                    </m:sub>
                    <m:sup>
                      <m:r>
                        <w:rPr>
                          <w:rFonts w:ascii="Cambria Math" w:hAnsi="Cambria Math"/>
                        </w:rPr>
                        <m:t>m</m:t>
                      </m:r>
                    </m:sup>
                  </m:sSubSup>
                </m:e>
              </m:d>
              <m:r>
                <w:rPr>
                  <w:rFonts w:ascii="Cambria Math" w:hAnsi="Cambria Math"/>
                </w:rPr>
                <m:t>, #</m:t>
              </m:r>
              <m:d>
                <m:dPr>
                  <m:ctrlPr>
                    <w:rPr>
                      <w:rFonts w:ascii="Cambria Math" w:hAnsi="Cambria Math"/>
                      <w:i/>
                    </w:rPr>
                  </m:ctrlPr>
                </m:dPr>
                <m:e>
                  <m:r>
                    <m:rPr>
                      <m:sty m:val="p"/>
                    </m:rPr>
                    <w:rPr>
                      <w:rFonts w:ascii="Cambria Math" w:hAnsi="Cambria Math"/>
                    </w:rPr>
                    <m:t>S13</m:t>
                  </m:r>
                </m:e>
              </m:d>
            </m:e>
          </m:eqArr>
        </m:oMath>
      </m:oMathPara>
    </w:p>
    <w:p w14:paraId="5AE2B533" w14:textId="08C892CE" w:rsidR="007716CC" w:rsidRPr="007716CC" w:rsidRDefault="00063B50" w:rsidP="007716CC">
      <w:pPr>
        <w:pStyle w:val="equation"/>
        <w:rPr>
          <w:rFonts w:ascii="Times New Roman" w:hAnsi="Times New Roman"/>
        </w:rPr>
      </w:pPr>
      <m:oMathPara>
        <m:oMath>
          <m:sSubSup>
            <m:sSubSupPr>
              <m:ctrlPr>
                <w:rPr>
                  <w:rFonts w:ascii="Cambria Math" w:hAnsi="Cambria Math"/>
                  <w:i/>
                </w:rPr>
              </m:ctrlPr>
            </m:sSubSupPr>
            <m:e>
              <m:r>
                <w:rPr>
                  <w:rFonts w:ascii="Cambria Math" w:hAnsi="Cambria Math"/>
                </w:rPr>
                <m:t>C</m:t>
              </m:r>
            </m:e>
            <m:sub>
              <m:sSub>
                <m:sSubPr>
                  <m:ctrlPr>
                    <w:rPr>
                      <w:rFonts w:ascii="Cambria Math" w:hAnsi="Cambria Math"/>
                      <w:iCs/>
                    </w:rPr>
                  </m:ctrlPr>
                </m:sSubPr>
                <m:e>
                  <m:r>
                    <m:rPr>
                      <m:sty m:val="p"/>
                    </m:rPr>
                    <w:rPr>
                      <w:rFonts w:ascii="Cambria Math" w:hAnsi="Cambria Math"/>
                    </w:rPr>
                    <m:t>CO</m:t>
                  </m:r>
                </m:e>
                <m:sub>
                  <m:r>
                    <m:rPr>
                      <m:sty m:val="p"/>
                    </m:rPr>
                    <w:rPr>
                      <w:rFonts w:ascii="Cambria Math" w:hAnsi="Cambria Math"/>
                    </w:rPr>
                    <m:t>2</m:t>
                  </m:r>
                </m:sub>
              </m:sSub>
            </m:sub>
            <m:sup>
              <m:r>
                <w:rPr>
                  <w:rFonts w:ascii="Cambria Math" w:hAnsi="Cambria Math"/>
                </w:rPr>
                <m:t>'</m:t>
              </m:r>
            </m:sup>
          </m:sSubSup>
          <m: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r>
                <w:rPr>
                  <w:rFonts w:ascii="Cambria Math" w:hAnsi="Cambria Math"/>
                </w:rPr>
                <m:t>+</m:t>
              </m:r>
              <m:sSub>
                <m:sSubPr>
                  <m:ctrlPr>
                    <w:rPr>
                      <w:rFonts w:ascii="Cambria Math" w:hAnsi="Cambria Math"/>
                      <w:i/>
                      <w:iCs/>
                    </w:rPr>
                  </m:ctrlPr>
                </m:sSubPr>
                <m:e>
                  <m:r>
                    <w:rPr>
                      <w:rFonts w:ascii="Cambria Math" w:hAnsi="Cambria Math"/>
                    </w:rPr>
                    <m:t>C</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den>
          </m:f>
          <m:r>
            <w:rPr>
              <w:rFonts w:ascii="Cambria Math" w:hAnsi="Cambria Math"/>
            </w:rPr>
            <m:t>=</m:t>
          </m:r>
          <m:f>
            <m:fPr>
              <m:ctrlPr>
                <w:rPr>
                  <w:rFonts w:ascii="Cambria Math" w:hAnsi="Cambria Math"/>
                </w:rPr>
              </m:ctrlPr>
            </m:fPr>
            <m:num>
              <m:sSub>
                <m:sSubPr>
                  <m:ctrlPr>
                    <w:rPr>
                      <w:rFonts w:ascii="Cambria Math" w:hAnsi="Cambria Math"/>
                      <w:i/>
                      <w:iCs/>
                    </w:rPr>
                  </m:ctrlPr>
                </m:sSubPr>
                <m:e>
                  <m:r>
                    <w:rPr>
                      <w:rFonts w:ascii="Cambria Math" w:hAnsi="Cambria Math"/>
                    </w:rPr>
                    <m:t>C</m:t>
                  </m:r>
                </m:e>
                <m:sub>
                  <m:sSubSup>
                    <m:sSubSupPr>
                      <m:ctrlPr>
                        <w:rPr>
                          <w:rFonts w:ascii="Cambria Math" w:hAnsi="Cambria Math"/>
                        </w:rPr>
                      </m:ctrlPr>
                    </m:sSubSupPr>
                    <m:e>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sSub>
                <m:sSubPr>
                  <m:ctrlPr>
                    <w:rPr>
                      <w:rFonts w:ascii="Cambria Math" w:hAnsi="Cambria Math"/>
                    </w:rPr>
                  </m:ctrlPr>
                </m:sSubPr>
                <m:e>
                  <m:r>
                    <w:rPr>
                      <w:rFonts w:ascii="Cambria Math" w:hAnsi="Cambria Math"/>
                    </w:rPr>
                    <m:t>C</m:t>
                  </m:r>
                </m:e>
                <m:sub>
                  <m:sSubSup>
                    <m:sSubSupPr>
                      <m:ctrlPr>
                        <w:rPr>
                          <w:rFonts w:ascii="Cambria Math" w:hAnsi="Cambria Math"/>
                        </w:rPr>
                      </m:ctrlPr>
                    </m:sSubSupPr>
                    <m:e>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num>
            <m:den>
              <m:r>
                <w:rPr>
                  <w:rFonts w:ascii="Cambria Math" w:hAnsi="Cambria Math"/>
                </w:rPr>
                <m:t>1+</m:t>
              </m:r>
              <m:sSub>
                <m:sSubPr>
                  <m:ctrlPr>
                    <w:rPr>
                      <w:rFonts w:ascii="Cambria Math" w:hAnsi="Cambria Math"/>
                    </w:rPr>
                  </m:ctrlPr>
                </m:sSubPr>
                <m:e>
                  <m:r>
                    <w:rPr>
                      <w:rFonts w:ascii="Cambria Math" w:hAnsi="Cambria Math"/>
                    </w:rPr>
                    <m:t>C</m:t>
                  </m:r>
                </m:e>
                <m:sub>
                  <m:sSubSup>
                    <m:sSubSupPr>
                      <m:ctrlPr>
                        <w:rPr>
                          <w:rFonts w:ascii="Cambria Math" w:hAnsi="Cambria Math"/>
                        </w:rPr>
                      </m:ctrlPr>
                    </m:sSubSupPr>
                    <m:e>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den>
          </m:f>
          <m: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sub>
              </m:sSub>
              <m:d>
                <m:dPr>
                  <m:ctrlPr>
                    <w:rPr>
                      <w:rFonts w:ascii="Cambria Math" w:hAnsi="Cambria Math"/>
                      <w:i/>
                    </w:rPr>
                  </m:ctrlPr>
                </m:dPr>
                <m:e>
                  <m:r>
                    <w:rPr>
                      <w:rFonts w:ascii="Cambria Math" w:hAnsi="Cambria Math"/>
                    </w:rPr>
                    <m:t>1+</m:t>
                  </m:r>
                  <m:sSub>
                    <m:sSubPr>
                      <m:ctrlPr>
                        <w:rPr>
                          <w:rFonts w:ascii="Cambria Math" w:hAnsi="Cambria Math"/>
                        </w:rPr>
                      </m:ctrlPr>
                    </m:sSubPr>
                    <m:e>
                      <m:r>
                        <w:rPr>
                          <w:rFonts w:ascii="Cambria Math" w:hAnsi="Cambria Math"/>
                        </w:rPr>
                        <m:t>C</m:t>
                      </m:r>
                    </m:e>
                    <m:sub>
                      <m:sSubSup>
                        <m:sSubSupPr>
                          <m:ctrlPr>
                            <w:rPr>
                              <w:rFonts w:ascii="Cambria Math" w:hAnsi="Cambria Math"/>
                            </w:rPr>
                          </m:ctrlPr>
                        </m:sSubSupPr>
                        <m:e>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2,mol</m:t>
                              </m:r>
                            </m:sub>
                          </m:sSub>
                          <m:r>
                            <m:rPr>
                              <m:sty m:val="p"/>
                            </m:rPr>
                            <w:rPr>
                              <w:rFonts w:ascii="Cambria Math" w:hAnsi="Cambria Math"/>
                            </w:rPr>
                            <m:t>-CO</m:t>
                          </m:r>
                        </m:e>
                        <m:sub>
                          <m:r>
                            <m:rPr>
                              <m:sty m:val="p"/>
                            </m:rPr>
                            <w:rPr>
                              <w:rFonts w:ascii="Cambria Math" w:hAnsi="Cambria Math"/>
                            </w:rPr>
                            <m:t>3</m:t>
                          </m:r>
                        </m:sub>
                        <m:sup>
                          <m:r>
                            <m:rPr>
                              <m:sty m:val="p"/>
                            </m:rPr>
                            <w:rPr>
                              <w:rFonts w:ascii="Cambria Math" w:hAnsi="Cambria Math"/>
                            </w:rPr>
                            <m:t>2-</m:t>
                          </m:r>
                        </m:sup>
                      </m:sSubSup>
                    </m:sub>
                  </m:sSub>
                </m:e>
              </m:d>
            </m:den>
          </m:f>
          <m:r>
            <w:rPr>
              <w:rFonts w:ascii="Cambria Math" w:hAnsi="Cambria Math"/>
            </w:rPr>
            <m:t xml:space="preserve">.     </m:t>
          </m:r>
          <m:d>
            <m:dPr>
              <m:ctrlPr>
                <w:rPr>
                  <w:rFonts w:ascii="Cambria Math" w:hAnsi="Cambria Math"/>
                  <w:i/>
                </w:rPr>
              </m:ctrlPr>
            </m:dPr>
            <m:e>
              <m:r>
                <m:rPr>
                  <m:sty m:val="p"/>
                </m:rPr>
                <w:rPr>
                  <w:rFonts w:ascii="Cambria Math" w:hAnsi="Cambria Math"/>
                </w:rPr>
                <m:t>S14</m:t>
              </m:r>
            </m:e>
          </m:d>
        </m:oMath>
      </m:oMathPara>
    </w:p>
    <w:p w14:paraId="243FED8F" w14:textId="43894271" w:rsidR="00AB0222" w:rsidRDefault="00AB0222" w:rsidP="00AB0222">
      <w:pPr>
        <w:jc w:val="both"/>
        <w:rPr>
          <w:rFonts w:ascii="Times New Roman" w:eastAsiaTheme="minorEastAsia" w:hAnsi="Times New Roman" w:cs="Times New Roman"/>
          <w:iCs/>
        </w:rPr>
      </w:pPr>
    </w:p>
    <w:p w14:paraId="7C7727C1" w14:textId="77777777" w:rsidR="00AB0222" w:rsidRDefault="00AB0222" w:rsidP="00AB0222">
      <w:pPr>
        <w:pStyle w:val="Heading3"/>
      </w:pPr>
      <w:r>
        <w:t>Water (H</w:t>
      </w:r>
      <w:r w:rsidRPr="00831F79">
        <w:rPr>
          <w:vertAlign w:val="subscript"/>
        </w:rPr>
        <w:t>2</w:t>
      </w:r>
      <w:r>
        <w:t>O) solubility</w:t>
      </w:r>
    </w:p>
    <w:p w14:paraId="023D0D6E" w14:textId="3B1CC8DA" w:rsidR="00AB0222" w:rsidRPr="00AB0222" w:rsidRDefault="00AB0222" w:rsidP="00147AF9">
      <w:pPr>
        <w:ind w:firstLine="720"/>
        <w:jc w:val="both"/>
        <w:rPr>
          <w:rFonts w:ascii="Times New Roman" w:hAnsi="Times New Roman" w:cs="Times New Roman"/>
          <w:i/>
        </w:rPr>
      </w:pPr>
      <w:r w:rsidRPr="00AB0222">
        <w:rPr>
          <w:rFonts w:ascii="Times New Roman" w:hAnsi="Times New Roman" w:cs="Times New Roman"/>
        </w:rPr>
        <w:t>In silicate melts H</w:t>
      </w:r>
      <w:r w:rsidRPr="00AB0222">
        <w:rPr>
          <w:rFonts w:ascii="Times New Roman" w:hAnsi="Times New Roman" w:cs="Times New Roman"/>
          <w:vertAlign w:val="subscript"/>
        </w:rPr>
        <w:t>2</w:t>
      </w:r>
      <w:r w:rsidRPr="00AB0222">
        <w:rPr>
          <w:rFonts w:ascii="Times New Roman" w:hAnsi="Times New Roman" w:cs="Times New Roman"/>
        </w:rPr>
        <w:t>O dissolves as molecular H</w:t>
      </w:r>
      <w:r w:rsidRPr="00AB0222">
        <w:rPr>
          <w:rFonts w:ascii="Times New Roman" w:hAnsi="Times New Roman" w:cs="Times New Roman"/>
          <w:vertAlign w:val="subscript"/>
        </w:rPr>
        <w:t>2</w:t>
      </w:r>
      <w:r w:rsidRPr="00AB0222">
        <w:rPr>
          <w:rFonts w:ascii="Times New Roman" w:hAnsi="Times New Roman" w:cs="Times New Roman"/>
        </w:rPr>
        <w:t>O (H</w:t>
      </w:r>
      <w:r w:rsidRPr="00AB0222">
        <w:rPr>
          <w:rFonts w:ascii="Times New Roman" w:hAnsi="Times New Roman" w:cs="Times New Roman"/>
          <w:vertAlign w:val="subscript"/>
        </w:rPr>
        <w:t>2</w:t>
      </w:r>
      <w:r w:rsidRPr="00AB0222">
        <w:rPr>
          <w:rFonts w:ascii="Times New Roman" w:hAnsi="Times New Roman" w:cs="Times New Roman"/>
        </w:rPr>
        <w:t>O</w:t>
      </w:r>
      <w:r w:rsidRPr="00AB0222">
        <w:rPr>
          <w:rFonts w:ascii="Times New Roman" w:hAnsi="Times New Roman" w:cs="Times New Roman"/>
          <w:vertAlign w:val="subscript"/>
        </w:rPr>
        <w:t>mol</w:t>
      </w:r>
      <w:r w:rsidRPr="00AB0222">
        <w:rPr>
          <w:rFonts w:ascii="Times New Roman" w:hAnsi="Times New Roman" w:cs="Times New Roman"/>
        </w:rPr>
        <w:t>) and hydroxyl ions (OH</w:t>
      </w:r>
      <w:r w:rsidR="00804FB8">
        <w:rPr>
          <w:rFonts w:ascii="Times New Roman" w:hAnsi="Times New Roman" w:cs="Times New Roman"/>
          <w:vertAlign w:val="superscript"/>
        </w:rPr>
        <w:t>-</w:t>
      </w:r>
      <w:r w:rsidRPr="00AB0222">
        <w:rPr>
          <w:rFonts w:ascii="Times New Roman" w:hAnsi="Times New Roman" w:cs="Times New Roman"/>
        </w:rPr>
        <w:t>)</w:t>
      </w:r>
      <w:r w:rsidR="000F0BD4">
        <w:rPr>
          <w:rFonts w:ascii="Times New Roman" w:hAnsi="Times New Roman" w:cs="Times New Roman"/>
        </w:rPr>
        <w:t xml:space="preserve"> </w:t>
      </w:r>
      <w:r w:rsidR="000F0BD4">
        <w:rPr>
          <w:rFonts w:ascii="Times New Roman" w:hAnsi="Times New Roman"/>
        </w:rPr>
        <w:fldChar w:fldCharType="begin" w:fldLock="1"/>
      </w:r>
      <w:r w:rsidR="00D66D9A">
        <w:rPr>
          <w:rFonts w:ascii="Times New Roman" w:hAnsi="Times New Roman"/>
        </w:rPr>
        <w:instrText>ADDIN CSL_CITATION {"citationItems":[{"id":"ITEM-1","itemData":{"DOI":"10.1007/BF00371154","ISSN":"1432-0967","abstract":"Infrared and near-infrared transmission spectra have been taken on 19 volcanic and synthetic silicate glasses with known H2O contents (0.06–6.9 wt. %). Absorption peaks were observed at wavelengths of 1.41 μm, 1.91 μm, 2.22 μm, 2.53 μm, and 2.8 μm. These peaks have been attributed to the first overtone of the OH stretching vibration, the combination stretching+bending mode of H2O molecules, the combination stretching+bending mode of X-OH groups, a combination mode of the fundamental OH stretch+a low energy lattice vibration, and the fundamental OH stretching mode, respectively. Molar absorptivities of the peaks have been determined to be 0.2, 1.8, 1.0, 0.9, and 67 l/mol-cm. These values apply over the full range of glass compositions studied (albite, rhyolite, basalt). Quantitative determinations of total H2O contents and of the concentrations of molecular water and hydroxyl groups in silicate glasses are possible using these molar absorptivities, although they are limited in their accuracy by the accuracy of the reported water contents of the glasses used to calibrate these molar absorptivities. The most important uses of this technique may stem from its applicability to microsamples (</w:instrText>
      </w:r>
      <w:r w:rsidR="00D66D9A">
        <w:rPr>
          <w:rFonts w:ascii="Cambria Math" w:hAnsi="Cambria Math" w:cs="Cambria Math"/>
        </w:rPr>
        <w:instrText>≧</w:instrText>
      </w:r>
      <w:r w:rsidR="00D66D9A">
        <w:rPr>
          <w:rFonts w:ascii="Times New Roman" w:hAnsi="Times New Roman"/>
        </w:rPr>
        <w:instrText xml:space="preserve">100 μm) and to the determination of the concentrations of hydroxyl groups and molecular water in quenched silicate melts. Hydroxyl groups are the dominant hydrogen-bearing species in water-bearing glasses at low total water contents, but molecular H2O was detected in all samples with </w:instrText>
      </w:r>
      <w:r w:rsidR="00D66D9A">
        <w:rPr>
          <w:rFonts w:ascii="Cambria Math" w:hAnsi="Cambria Math" w:cs="Cambria Math"/>
        </w:rPr>
        <w:instrText>≧</w:instrText>
      </w:r>
      <w:r w:rsidR="00D66D9A">
        <w:rPr>
          <w:rFonts w:ascii="Times New Roman" w:hAnsi="Times New Roman"/>
        </w:rPr>
        <w:instrText xml:space="preserve">0.5 weight percent total water. The concentration of hydroxyl groups increases rapidly with total water content at low total water contents, but more slowly at higher (&amp;gt;3 wt. %) total water contents; it may level off or even decrease at high total water contents. The concentration of molecular water increases slowly at low total water contents and more rapidly at high total water contents. More water is dissolved as molecular water than as hydroxyl groups at total water contents greater than </w:instrText>
      </w:r>
      <w:r w:rsidR="00D66D9A">
        <w:rPr>
          <w:rFonts w:ascii="Cambria Math" w:hAnsi="Cambria Math" w:cs="Cambria Math"/>
        </w:rPr>
        <w:instrText>∼</w:instrText>
      </w:r>
      <w:r w:rsidR="00D66D9A">
        <w:rPr>
          <w:rFonts w:ascii="Times New Roman" w:hAnsi="Times New Roman"/>
        </w:rPr>
        <w:instrText>4 wt. %. Molecular water in these glasses is probably structurally bound rather than present as fluid inclusions as a separate phase, since ice bands were not observed in spectra taken at 78K and since samples were free of visible bubbles. It is proposed that the speciation of water in silicate glass formed by rapid quenching from melt equilibrated at high temperatures reflects that of the melt. According to this hypothesis, neither high water contents nor high pressures are needed to stabilize subs…","author":[{"dropping-particle":"","family":"Stolper","given":"Edward M.","non-dropping-particle":"","parse-names":false,"suffix":""}],"container-title":"Contributions to Mineralogy and Petrology 1982 81:1","id":"ITEM-1","issue":"1","issued":{"date-parts":[["1982","11"]]},"page":"1-17","publisher":"Springer","title":"Water in silicate glasses: An infrared spectroscopic study","type":"article-journal","volume":"81"},"uris":["http://www.mendeley.com/documents/?uuid=973515a8-41d2-3a44-b504-b753865fd646"]},{"id":"ITEM-2","itemData":{"abstract":"Degassing processes in basaltic magmas rich in both water and carbon dioxide can be modeled using the solubilities of the endmember systems and the assumption of Henry's law. Suites of vapor-saturated basaltic melts having a range of initial C02/ H20 ratios and erupted over a narrow depth interval will define negative!; sloped arrays on an H20 vs C02 plot. It is important that all of the major volatile species be considered simultaneous!; when interpreting trends in dissolved volatile species concentrations in magmas. Based on measured concentrations of water and carbon dioxide in basaltic glasses, the composition of the vapor phase at 120ff'C that could coexist with a basaltic melt and the pressure at which it would be vapor saturated can be calculated. The range in vapor compositions in equilibrium with submarine basalts rejhcts the range in water contents in the melts characteristic of each environment. The ranges in the molar proportion of CO2 in vapor phases (Xco) calculated to be in equilibrium with submarine tholeiitic glasses are 0 · 93- 1 ·00 for mid-ocean ridge basalts (MORE), 0 ·6o-o · 99 for glasses from Kilauea [representative of ocean island basalts ( OIB) J and o-o · 94 for glasses from back-arc basins (BABE). MORE glasses from spreading centers ranging from slow (e.g. the Mid-Atlantic Ridge) to fast (e.g. East Pacific Rise, 9- 13° .N) are common!; supersaturated with respect to COrrich vapor, resulting from magma ascent rates so rapid that magmas erupt on the seafloor without having been .ful!J degassed by bubble nucleation and growth during ascent. In contrast to the MORE glasses, volatile contents in submarine glasses from Kilauea are consistent with having been in equilibrium with a vapor phase containing 60- 100 mol% C02 at the pressure of eruption, riflecting differences in average magma transport rates during eruptions at mid-ocean ridges and hotspot volcanoes. *Corresponding author. Present address: Rosenstiel School of Marine and Atmospheric Science, Division of Marine Geology and Geophysics, University of Miami, Miami, FL 33149-1098, USA Degassing during decompression of tholeiitic basaltic magma is characterized by strong partitioning of C02 into the vapor phase. During open system degassing, C02 is rapid!; removed from the melt with negligible loss of water, until a pressure is reached at which the melt is in equilibrium with near!; pure water vapor. From this pressure downward, the water content of the melt follows the water …","author":[{"dropping-particle":"","family":"Dixon","given":"Jacqueline Eaby","non-dropping-particle":"","parse-names":false,"suffix":""},{"dropping-particle":"","family":"Stolper","given":"Edward M.","non-dropping-particle":"","parse-names":false,"suffix":""}],"container-title":"Journal of Petrology","id":"ITEM-2","issue":"6","issued":{"date-parts":[["1995"]]},"page":"1633-1646","title":"An experimental study water and carbon dioxide solubilities in mid-ocean ridge basaltic liquids. Part II: Application to degassing","type":"article-journal","volume":"36"},"uris":["http://www.mendeley.com/documents/?uuid=38713b07-e299-4d03-849e-8164f6de93d7"]},{"id":"ITEM-3","itemData":{"DOI":"10.1007/S00410-010-0588-X/FIGURES/12","ISSN":"00107999","abstract":"Experiments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Petrology","id":"ITEM-3","issue":"1","issued":{"date-parts":[["2011","7","13"]]},"page":"133-151","publisher":"Springer","title":"The H2O solubility of alkali basaltic melts: An experimental study","type":"article-journal","volume":"162"},"uris":["http://www.mendeley.com/documents/?uuid=0b473f09-3a8d-35f3-a370-20542d8405db"]}],"mendeley":{"formattedCitation":"(Dixon and Stolper, 1995; Lesne et al., 2011; Stolper, 1982a)","manualFormatting":"(e.g., Dixon and Stolper, 1995; Lesne et al., 2011; Stolper, 1982a)","plainTextFormattedCitation":"(Dixon and Stolper, 1995; Lesne et al., 2011; Stolper, 1982a)","previouslyFormattedCitation":"(Dixon and Stolper, 1995; Lesne et al., 2011; Stolper, 1982a)"},"properties":{"noteIndex":0},"schema":"https://github.com/citation-style-language/schema/raw/master/csl-citation.json"}</w:instrText>
      </w:r>
      <w:r w:rsidR="000F0BD4">
        <w:rPr>
          <w:rFonts w:ascii="Times New Roman" w:hAnsi="Times New Roman"/>
        </w:rPr>
        <w:fldChar w:fldCharType="separate"/>
      </w:r>
      <w:r w:rsidR="00E0491E" w:rsidRPr="00E0491E">
        <w:rPr>
          <w:rFonts w:ascii="Times New Roman" w:hAnsi="Times New Roman"/>
          <w:noProof/>
        </w:rPr>
        <w:t>(</w:t>
      </w:r>
      <w:r w:rsidR="00E0491E">
        <w:rPr>
          <w:rFonts w:ascii="Times New Roman" w:hAnsi="Times New Roman"/>
          <w:noProof/>
        </w:rPr>
        <w:t xml:space="preserve">e.g., </w:t>
      </w:r>
      <w:r w:rsidR="00E0491E" w:rsidRPr="00E0491E">
        <w:rPr>
          <w:rFonts w:ascii="Times New Roman" w:hAnsi="Times New Roman"/>
          <w:noProof/>
        </w:rPr>
        <w:t>Dixon and Stolper, 1995; Lesne et al., 2011; Stolper, 1982a)</w:t>
      </w:r>
      <w:r w:rsidR="000F0BD4">
        <w:rPr>
          <w:rFonts w:ascii="Times New Roman" w:hAnsi="Times New Roman"/>
        </w:rPr>
        <w:fldChar w:fldCharType="end"/>
      </w:r>
      <w:r w:rsidRPr="00AB0222">
        <w:rPr>
          <w:rFonts w:ascii="Times New Roman" w:hAnsi="Times New Roman" w:cs="Times New Roman"/>
        </w:rPr>
        <w:t>. We describe the solubility of H</w:t>
      </w:r>
      <w:r w:rsidRPr="00AB0222">
        <w:rPr>
          <w:rFonts w:ascii="Times New Roman" w:hAnsi="Times New Roman" w:cs="Times New Roman"/>
          <w:vertAlign w:val="subscript"/>
        </w:rPr>
        <w:t>2</w:t>
      </w:r>
      <w:r w:rsidRPr="00AB0222">
        <w:rPr>
          <w:rFonts w:ascii="Times New Roman" w:hAnsi="Times New Roman" w:cs="Times New Roman"/>
        </w:rPr>
        <w:t>O</w:t>
      </w:r>
      <w:r w:rsidRPr="00AB0222">
        <w:rPr>
          <w:rFonts w:ascii="Times New Roman" w:hAnsi="Times New Roman" w:cs="Times New Roman"/>
          <w:vertAlign w:val="subscript"/>
        </w:rPr>
        <w:t>mol</w:t>
      </w:r>
      <w:r w:rsidRPr="00AB0222">
        <w:rPr>
          <w:rFonts w:ascii="Times New Roman" w:hAnsi="Times New Roman" w:cs="Times New Roman"/>
        </w:rPr>
        <w:t xml:space="preserve"> </w:t>
      </w:r>
      <w:r>
        <w:rPr>
          <w:rFonts w:ascii="Times New Roman" w:hAnsi="Times New Roman" w:cs="Times New Roman"/>
        </w:rPr>
        <w:t>as follows,</w:t>
      </w:r>
      <w:r w:rsidRPr="00AB0222">
        <w:rPr>
          <w:rFonts w:ascii="Times New Roman" w:hAnsi="Times New Roman" w:cs="Times New Roman"/>
        </w:rPr>
        <w:t xml:space="preserve"> with its associated equilibrium constant,</w:t>
      </w:r>
    </w:p>
    <w:p w14:paraId="7B38E13E" w14:textId="11B49BB7" w:rsidR="00AB0222" w:rsidRPr="00AB0222" w:rsidRDefault="00063B50" w:rsidP="00E31290">
      <w:pPr>
        <w:pStyle w:val="equation"/>
        <w:rPr>
          <w:rFonts w:ascii="Times New Roman" w:hAnsi="Times New Roman"/>
          <w:i/>
          <w:iCs/>
        </w:rPr>
      </w:pPr>
      <m:oMathPara>
        <m:oMath>
          <m:eqArr>
            <m:eqArrPr>
              <m:maxDist m:val="1"/>
              <m:ctrlPr>
                <w:rPr>
                  <w:rFonts w:ascii="Cambria Math" w:hAnsi="Cambria Math"/>
                  <w:i/>
                </w:rPr>
              </m:ctrlPr>
            </m:eqArr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d>
                <m:dPr>
                  <m:ctrlPr>
                    <w:rPr>
                      <w:rFonts w:ascii="Cambria Math" w:hAnsi="Cambria Math"/>
                    </w:rPr>
                  </m:ctrlPr>
                </m:dPr>
                <m:e>
                  <m:r>
                    <w:rPr>
                      <w:rFonts w:ascii="Cambria Math" w:hAnsi="Cambria Math"/>
                    </w:rPr>
                    <m:t>v</m:t>
                  </m:r>
                </m:e>
              </m:d>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S15</m:t>
                  </m:r>
                  <m:ctrlPr>
                    <w:rPr>
                      <w:rFonts w:ascii="Cambria Math" w:hAnsi="Cambria Math"/>
                    </w:rPr>
                  </m:ctrlPr>
                </m:e>
              </m:d>
            </m:e>
          </m:eqArr>
        </m:oMath>
      </m:oMathPara>
    </w:p>
    <w:p w14:paraId="5025EEC7" w14:textId="58C67BC5" w:rsidR="00AB0222" w:rsidRPr="00AB0222" w:rsidRDefault="00063B50" w:rsidP="00E31290">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mol</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i/>
                        </w:rPr>
                      </m:ctrlPr>
                    </m:sSubSupPr>
                    <m:e>
                      <m:r>
                        <w:rPr>
                          <w:rFonts w:ascii="Cambria Math" w:hAnsi="Cambria Math"/>
                        </w:rPr>
                        <m:t>a</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den>
              </m:f>
              <m:r>
                <w:rPr>
                  <w:rFonts w:ascii="Cambria Math" w:hAnsi="Cambria Math"/>
                </w:rPr>
                <m:t>=</m:t>
              </m:r>
              <m:f>
                <m:fPr>
                  <m:ctrlPr>
                    <w:rPr>
                      <w:rFonts w:ascii="Cambria Math" w:hAnsi="Cambria Math"/>
                    </w:rPr>
                  </m:ctrlPr>
                </m:fPr>
                <m:num>
                  <m:sSubSup>
                    <m:sSubSupPr>
                      <m:ctrlPr>
                        <w:rPr>
                          <w:rFonts w:ascii="Cambria Math" w:hAnsi="Cambria Math"/>
                          <w:i/>
                        </w:rPr>
                      </m:ctrlPr>
                    </m:sSubSupPr>
                    <m:e>
                      <m:r>
                        <w:rPr>
                          <w:rFonts w:ascii="Cambria Math" w:hAnsi="Cambria Math"/>
                        </w:rPr>
                        <m:t>γ</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sSubSup>
                    <m:sSubSupPr>
                      <m:ctrlPr>
                        <w:rPr>
                          <w:rFonts w:ascii="Cambria Math" w:hAnsi="Cambria Math"/>
                          <w:i/>
                        </w:rPr>
                      </m:ctrlPr>
                    </m:sSubSupPr>
                    <m:e>
                      <m:r>
                        <w:rPr>
                          <w:rFonts w:ascii="Cambria Math" w:hAnsi="Cambria Math"/>
                        </w:rPr>
                        <m:t xml:space="preserve"> x</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den>
              </m:f>
              <m:r>
                <w:rPr>
                  <w:rFonts w:ascii="Cambria Math" w:hAnsi="Cambria Math"/>
                </w:rPr>
                <m:t>. #</m:t>
              </m:r>
              <m:d>
                <m:dPr>
                  <m:ctrlPr>
                    <w:rPr>
                      <w:rFonts w:ascii="Cambria Math" w:hAnsi="Cambria Math"/>
                      <w:i/>
                    </w:rPr>
                  </m:ctrlPr>
                </m:dPr>
                <m:e>
                  <m:r>
                    <m:rPr>
                      <m:sty m:val="p"/>
                    </m:rPr>
                    <w:rPr>
                      <w:rFonts w:ascii="Cambria Math" w:hAnsi="Cambria Math"/>
                    </w:rPr>
                    <m:t>S16</m:t>
                  </m:r>
                </m:e>
              </m:d>
            </m:e>
          </m:eqArr>
        </m:oMath>
      </m:oMathPara>
    </w:p>
    <w:p w14:paraId="5A461E62" w14:textId="79A16148" w:rsidR="00AB0222" w:rsidRPr="00AB0222" w:rsidRDefault="00AB0222" w:rsidP="00AB0222">
      <w:pPr>
        <w:pStyle w:val="NoSpacing"/>
        <w:jc w:val="both"/>
        <w:rPr>
          <w:rFonts w:ascii="Times New Roman" w:hAnsi="Times New Roman"/>
        </w:rPr>
      </w:pPr>
      <w:r w:rsidRPr="00AB0222">
        <w:rPr>
          <w:rFonts w:ascii="Times New Roman" w:hAnsi="Times New Roman"/>
        </w:rPr>
        <w:t>Additionally, assuming only one type of O</w:t>
      </w:r>
      <w:r w:rsidRPr="00AB0222">
        <w:rPr>
          <w:rFonts w:ascii="Times New Roman" w:hAnsi="Times New Roman"/>
          <w:vertAlign w:val="superscript"/>
        </w:rPr>
        <w:t>2-</w:t>
      </w:r>
      <w:r w:rsidRPr="00AB0222">
        <w:rPr>
          <w:rFonts w:ascii="Times New Roman" w:hAnsi="Times New Roman"/>
        </w:rPr>
        <w:t xml:space="preserve"> in the silicate melt, H</w:t>
      </w:r>
      <w:r w:rsidRPr="00AB0222">
        <w:rPr>
          <w:rFonts w:ascii="Times New Roman" w:hAnsi="Times New Roman"/>
          <w:vertAlign w:val="subscript"/>
        </w:rPr>
        <w:t>2</w:t>
      </w:r>
      <w:r w:rsidRPr="00AB0222">
        <w:rPr>
          <w:rFonts w:ascii="Times New Roman" w:hAnsi="Times New Roman"/>
        </w:rPr>
        <w:t>O in the vapor or H</w:t>
      </w:r>
      <w:r w:rsidRPr="00AB0222">
        <w:rPr>
          <w:rFonts w:ascii="Times New Roman" w:hAnsi="Times New Roman"/>
          <w:vertAlign w:val="subscript"/>
        </w:rPr>
        <w:t>2</w:t>
      </w:r>
      <w:r w:rsidRPr="00AB0222">
        <w:rPr>
          <w:rFonts w:ascii="Times New Roman" w:hAnsi="Times New Roman"/>
        </w:rPr>
        <w:t>O</w:t>
      </w:r>
      <w:r w:rsidRPr="00AB0222">
        <w:rPr>
          <w:rFonts w:ascii="Times New Roman" w:hAnsi="Times New Roman"/>
          <w:vertAlign w:val="subscript"/>
        </w:rPr>
        <w:t>mol</w:t>
      </w:r>
      <w:r w:rsidRPr="00AB0222">
        <w:rPr>
          <w:rFonts w:ascii="Times New Roman" w:hAnsi="Times New Roman"/>
        </w:rPr>
        <w:t xml:space="preserve"> in the melt can react with O</w:t>
      </w:r>
      <w:r w:rsidRPr="00AB0222">
        <w:rPr>
          <w:rFonts w:ascii="Times New Roman" w:hAnsi="Times New Roman"/>
          <w:vertAlign w:val="superscript"/>
        </w:rPr>
        <w:t>2-</w:t>
      </w:r>
      <w:r w:rsidRPr="00AB0222">
        <w:rPr>
          <w:rFonts w:ascii="Times New Roman" w:hAnsi="Times New Roman"/>
        </w:rPr>
        <w:t xml:space="preserve"> to form OH</w:t>
      </w:r>
      <w:r w:rsidRPr="00AB0222">
        <w:rPr>
          <w:rFonts w:ascii="Times New Roman" w:hAnsi="Times New Roman"/>
          <w:vertAlign w:val="superscript"/>
        </w:rPr>
        <w:t>-</w:t>
      </w:r>
      <w:r w:rsidRPr="00AB0222">
        <w:rPr>
          <w:rFonts w:ascii="Times New Roman" w:hAnsi="Times New Roman"/>
        </w:rPr>
        <w:t xml:space="preserve"> by the following heterogeneous or homogeneous melt(-vapor) equilibria with their associated equilibrium constants,</w:t>
      </w:r>
    </w:p>
    <w:p w14:paraId="4F088A7D" w14:textId="5187088F" w:rsidR="00AB0222" w:rsidRPr="00AB0222" w:rsidRDefault="00063B50" w:rsidP="00E31290">
      <w:pPr>
        <w:pStyle w:val="equation"/>
        <w:rPr>
          <w:rFonts w:ascii="Times New Roman" w:hAnsi="Times New Roman"/>
          <w:i/>
        </w:rPr>
      </w:pPr>
      <m:oMathPara>
        <m:oMath>
          <m:eqArr>
            <m:eqArrPr>
              <m:maxDist m:val="1"/>
              <m:ctrlPr>
                <w:rPr>
                  <w:rFonts w:ascii="Cambria Math" w:hAnsi="Cambria Math"/>
                </w:rPr>
              </m:ctrlPr>
            </m:eqArrP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d>
                <m:dPr>
                  <m:ctrlPr>
                    <w:rPr>
                      <w:rFonts w:ascii="Cambria Math" w:hAnsi="Cambria Math"/>
                    </w:rPr>
                  </m:ctrlPr>
                </m:dPr>
                <m:e>
                  <m:r>
                    <w:rPr>
                      <w:rFonts w:ascii="Cambria Math" w:hAnsi="Cambria Math"/>
                    </w:rPr>
                    <m:t>v/m</m:t>
                  </m:r>
                </m:e>
              </m:d>
              <m:r>
                <m:rPr>
                  <m:sty m:val="p"/>
                </m:rPr>
                <w:rPr>
                  <w:rFonts w:ascii="Cambria Math" w:hAnsi="Cambria Math"/>
                </w:rPr>
                <m:t>+</m:t>
              </m:r>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=2</m:t>
              </m:r>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d>
                <m:dPr>
                  <m:ctrlPr>
                    <w:rPr>
                      <w:rFonts w:ascii="Cambria Math" w:hAnsi="Cambria Math"/>
                    </w:rPr>
                  </m:ctrlPr>
                </m:dPr>
                <m:e>
                  <m:r>
                    <w:rPr>
                      <w:rFonts w:ascii="Cambria Math" w:hAnsi="Cambria Math"/>
                    </w:rPr>
                    <m:t>m</m:t>
                  </m:r>
                </m:e>
              </m:d>
              <m:r>
                <m:rPr>
                  <m:sty m:val="p"/>
                </m:rPr>
                <w:rPr>
                  <w:rFonts w:ascii="Cambria Math" w:hAnsi="Cambria Math"/>
                </w:rPr>
                <m:t xml:space="preserve">, </m:t>
              </m:r>
              <m:r>
                <w:rPr>
                  <w:rFonts w:ascii="Cambria Math" w:hAnsi="Cambria Math"/>
                </w:rPr>
                <m:t>#</m:t>
              </m:r>
              <m:d>
                <m:dPr>
                  <m:ctrlPr>
                    <w:rPr>
                      <w:rFonts w:ascii="Cambria Math" w:hAnsi="Cambria Math"/>
                    </w:rPr>
                  </m:ctrlPr>
                </m:dPr>
                <m:e>
                  <m:r>
                    <m:rPr>
                      <m:sty m:val="p"/>
                    </m:rPr>
                    <w:rPr>
                      <w:rFonts w:ascii="Cambria Math" w:hAnsi="Cambria Math"/>
                    </w:rPr>
                    <m:t>S</m:t>
                  </m:r>
                  <m:r>
                    <w:rPr>
                      <w:rFonts w:ascii="Cambria Math" w:hAnsi="Cambria Math"/>
                    </w:rPr>
                    <m:t>17</m:t>
                  </m:r>
                </m:e>
              </m:d>
              <m:ctrlPr>
                <w:rPr>
                  <w:rFonts w:ascii="Cambria Math" w:hAnsi="Cambria Math"/>
                  <w:i/>
                </w:rPr>
              </m:ctrlPr>
            </m:e>
          </m:eqArr>
        </m:oMath>
      </m:oMathPara>
    </w:p>
    <w:p w14:paraId="15B5C50A" w14:textId="4460478A" w:rsidR="00AB0222" w:rsidRPr="00AB0222" w:rsidRDefault="00063B50" w:rsidP="00E31290">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r>
                    <m:rPr>
                      <m:sty m:val="p"/>
                    </m:rPr>
                    <w:rPr>
                      <w:rFonts w:ascii="Cambria Math" w:hAnsi="Cambria Math"/>
                    </w:rPr>
                    <m:t>-</m:t>
                  </m:r>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r>
                <m:rPr>
                  <m:sty m:val="p"/>
                </m:rPr>
                <w:rPr>
                  <w:rFonts w:ascii="Cambria Math" w:hAnsi="Cambria Math"/>
                </w:rPr>
                <m:t>=</m:t>
              </m:r>
              <m:f>
                <m:fPr>
                  <m:ctrlPr>
                    <w:rPr>
                      <w:rFonts w:ascii="Cambria Math" w:hAnsi="Cambria Math"/>
                    </w:rPr>
                  </m:ctrlPr>
                </m:fPr>
                <m:num>
                  <m:sSup>
                    <m:sSupPr>
                      <m:ctrlPr>
                        <w:rPr>
                          <w:rFonts w:ascii="Cambria Math" w:hAnsi="Cambria Math"/>
                          <w:i/>
                        </w:rPr>
                      </m:ctrlPr>
                    </m:sSupPr>
                    <m:e>
                      <m:d>
                        <m:dPr>
                          <m:ctrlPr>
                            <w:rPr>
                              <w:rFonts w:ascii="Cambria Math" w:hAnsi="Cambria Math"/>
                              <w:i/>
                            </w:rPr>
                          </m:ctrlPr>
                        </m:dPr>
                        <m:e>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e>
                      </m:d>
                    </m:e>
                    <m:sup>
                      <m:r>
                        <w:rPr>
                          <w:rFonts w:ascii="Cambria Math" w:hAnsi="Cambria Math"/>
                        </w:rPr>
                        <m:t>2</m:t>
                      </m:r>
                    </m:sup>
                  </m:s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den>
              </m:f>
              <m: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e>
                      </m:d>
                    </m:e>
                    <m:sup>
                      <m:r>
                        <w:rPr>
                          <w:rFonts w:ascii="Cambria Math" w:hAnsi="Cambria Math"/>
                        </w:rPr>
                        <m:t>2</m:t>
                      </m:r>
                    </m:sup>
                  </m:sSup>
                </m:num>
                <m:den>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w:rPr>
                      <w:rFonts w:ascii="Cambria Math" w:hAnsi="Cambria Math"/>
                    </w:rPr>
                    <m:t xml:space="preserve"> </m:t>
                  </m:r>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den>
              </m:f>
              <m:r>
                <w:rPr>
                  <w:rFonts w:ascii="Cambria Math" w:hAnsi="Cambria Math"/>
                </w:rPr>
                <m:t>,#</m:t>
              </m:r>
              <m:d>
                <m:dPr>
                  <m:ctrlPr>
                    <w:rPr>
                      <w:rFonts w:ascii="Cambria Math" w:hAnsi="Cambria Math"/>
                      <w:i/>
                    </w:rPr>
                  </m:ctrlPr>
                </m:dPr>
                <m:e>
                  <m:r>
                    <m:rPr>
                      <m:sty m:val="p"/>
                    </m:rPr>
                    <w:rPr>
                      <w:rFonts w:ascii="Cambria Math" w:hAnsi="Cambria Math"/>
                    </w:rPr>
                    <m:t>S18</m:t>
                  </m:r>
                </m:e>
              </m:d>
            </m:e>
          </m:eqArr>
        </m:oMath>
      </m:oMathPara>
    </w:p>
    <w:p w14:paraId="7954CC1F" w14:textId="3CA5610F" w:rsidR="00AB0222" w:rsidRPr="00AB0222" w:rsidRDefault="00063B50" w:rsidP="00E31290">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mol</m:t>
                      </m:r>
                    </m:sub>
                  </m:sSub>
                </m:sub>
              </m:sSub>
              <m:r>
                <m:rPr>
                  <m:sty m:val="p"/>
                </m:rPr>
                <w:rPr>
                  <w:rFonts w:ascii="Cambria Math" w:hAnsi="Cambria Math"/>
                </w:rPr>
                <m:t>=</m:t>
              </m:r>
              <m:f>
                <m:fPr>
                  <m:ctrlPr>
                    <w:rPr>
                      <w:rFonts w:ascii="Cambria Math" w:hAnsi="Cambria Math"/>
                    </w:rPr>
                  </m:ctrlPr>
                </m:fPr>
                <m:num>
                  <m:sSup>
                    <m:sSupPr>
                      <m:ctrlPr>
                        <w:rPr>
                          <w:rFonts w:ascii="Cambria Math" w:hAnsi="Cambria Math"/>
                          <w:i/>
                        </w:rPr>
                      </m:ctrlPr>
                    </m:sSupPr>
                    <m:e>
                      <m:d>
                        <m:dPr>
                          <m:ctrlPr>
                            <w:rPr>
                              <w:rFonts w:ascii="Cambria Math" w:hAnsi="Cambria Math"/>
                              <w:i/>
                            </w:rPr>
                          </m:ctrlPr>
                        </m:dPr>
                        <m:e>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e>
                      </m:d>
                    </m:e>
                    <m:sup>
                      <m:r>
                        <w:rPr>
                          <w:rFonts w:ascii="Cambria Math" w:hAnsi="Cambria Math"/>
                        </w:rPr>
                        <m:t>2</m:t>
                      </m:r>
                    </m:sup>
                  </m:s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a</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den>
              </m:f>
              <m: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OH</m:t>
                                  </m:r>
                                </m:e>
                                <m:sup>
                                  <m:r>
                                    <m:rPr>
                                      <m:sty m:val="p"/>
                                    </m:rPr>
                                    <w:rPr>
                                      <w:rFonts w:ascii="Cambria Math" w:hAnsi="Cambria Math"/>
                                    </w:rPr>
                                    <m:t>-</m:t>
                                  </m:r>
                                </m:sup>
                              </m:sSup>
                            </m:sub>
                            <m:sup>
                              <m:r>
                                <w:rPr>
                                  <w:rFonts w:ascii="Cambria Math" w:hAnsi="Cambria Math"/>
                                </w:rPr>
                                <m:t>m</m:t>
                              </m:r>
                            </m:sup>
                          </m:sSubSup>
                        </m:e>
                      </m:d>
                    </m:e>
                    <m:sup>
                      <m:r>
                        <w:rPr>
                          <w:rFonts w:ascii="Cambria Math" w:hAnsi="Cambria Math"/>
                        </w:rPr>
                        <m:t>2</m:t>
                      </m:r>
                    </m:sup>
                  </m:sSup>
                </m:num>
                <m:den>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r>
                    <w:rPr>
                      <w:rFonts w:ascii="Cambria Math" w:hAnsi="Cambria Math"/>
                    </w:rPr>
                    <m:t xml:space="preserve"> </m:t>
                  </m:r>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e>
                        <m:sub>
                          <m:r>
                            <m:rPr>
                              <m:sty m:val="p"/>
                            </m:rPr>
                            <w:rPr>
                              <w:rFonts w:ascii="Cambria Math" w:hAnsi="Cambria Math"/>
                            </w:rPr>
                            <m:t>mol</m:t>
                          </m:r>
                        </m:sub>
                      </m:sSub>
                    </m:sub>
                    <m:sup>
                      <m:r>
                        <w:rPr>
                          <w:rFonts w:ascii="Cambria Math" w:hAnsi="Cambria Math"/>
                        </w:rPr>
                        <m:t>m</m:t>
                      </m:r>
                    </m:sup>
                  </m:sSubSup>
                </m:den>
              </m:f>
              <m:r>
                <w:rPr>
                  <w:rFonts w:ascii="Cambria Math" w:hAnsi="Cambria Math"/>
                </w:rPr>
                <m:t>. #</m:t>
              </m:r>
              <m:d>
                <m:dPr>
                  <m:ctrlPr>
                    <w:rPr>
                      <w:rFonts w:ascii="Cambria Math" w:hAnsi="Cambria Math"/>
                      <w:i/>
                    </w:rPr>
                  </m:ctrlPr>
                </m:dPr>
                <m:e>
                  <m:r>
                    <m:rPr>
                      <m:sty m:val="p"/>
                    </m:rPr>
                    <w:rPr>
                      <w:rFonts w:ascii="Cambria Math" w:hAnsi="Cambria Math"/>
                    </w:rPr>
                    <m:t>S19</m:t>
                  </m:r>
                </m:e>
              </m:d>
            </m:e>
          </m:eqArr>
        </m:oMath>
      </m:oMathPara>
    </w:p>
    <w:p w14:paraId="4527CA02" w14:textId="272B6B18" w:rsidR="00AB0222" w:rsidRPr="00AB0222" w:rsidRDefault="00AB0222" w:rsidP="00AB0222">
      <w:pPr>
        <w:pStyle w:val="NoSpacing"/>
        <w:jc w:val="both"/>
        <w:rPr>
          <w:rFonts w:ascii="Times New Roman" w:hAnsi="Times New Roman"/>
        </w:rPr>
      </w:pPr>
      <w:r w:rsidRPr="00AB0222">
        <w:rPr>
          <w:rFonts w:ascii="Times New Roman" w:hAnsi="Times New Roman"/>
        </w:rPr>
        <w:lastRenderedPageBreak/>
        <w:t>As developed in</w:t>
      </w:r>
      <w:r w:rsidR="00225C80">
        <w:rPr>
          <w:rFonts w:ascii="Times New Roman" w:hAnsi="Times New Roman"/>
        </w:rPr>
        <w:t xml:space="preserve"> </w:t>
      </w:r>
      <w:r w:rsidR="00225C80">
        <w:rPr>
          <w:rFonts w:ascii="Times New Roman" w:hAnsi="Times New Roman"/>
        </w:rPr>
        <w:fldChar w:fldCharType="begin" w:fldLock="1"/>
      </w:r>
      <w:r w:rsidR="000F0BD4">
        <w:rPr>
          <w:rFonts w:ascii="Times New Roman" w:hAnsi="Times New Roman"/>
        </w:rPr>
        <w:instrText>ADDIN CSL_CITATION {"citationItems":[{"id":"ITEM-1","itemData":{"abstract":"Previous models of water solubility in silicate melts generally assume essentially complete reaction of water molecules to hydroxyl groups. In this paper a new model is proposed that is based on the hypothesis that the observed concentrations of molecular water and hydroxyl groups in hydrous silicate glasses reflect those of the melts from which they were quenched. The new model relates the proportions of molecular water and hydroxyl groups in melts via the following reaction describing the homogeneous equilibrium between melt species: H2Omolecular (melt) + oxygen (melt) = 2OH (melt). An equilibrium constant has been formulated for this reaction and species are assumed to mix ideally. Given an equilibrium constant for this reaction of 0.1–0.3, the proposed model can account for variations in the concentrations of molecular water and hydroxyl groups in melts as functions of the total dissolved water content that are similar to those observed in glasses. The solubility of molecular water in melt is described by the following reaction: H2O (vapor) = H2Omolecular (melt). These reactions describing the homogeneous and heterogeneous equilibria of hydrous silicate melts can account for the following observations: the linearity between fH2O and the square of the mole fraction of dissolved water at low total water contents and deviations from linearity at high total water contents; the difference between the partial molar volume of water in melts at low total water contents and at high total water contents; the similarity between water contents of vapor-saturated melts of significantly different compositions at high pressures versus the dependence on melt composition of water solubility in silicate melts at low pressures; and the variations of viscosity, electrical conductivity, the diffusivity of “water,” the diffusivity of cesium, and phase relationships with the total dissolved water contents of melts. This model is thus consistent with available observations on hydrous melt systems and available data on the species concentrations of hydrous glasses and is easily tested, since measurements of the concentrations of molecular water and hydroxyl groups in silicate glasses quenched from melts equilibrated over a range of conditions and total dissolved water contents are readily obtainable.","author":[{"dropping-particle":"","family":"Stolper","given":"Edward M.","non-dropping-particle":"","parse-names":false,"suffix":""}],"container-title":"Geochimica et Cosmochimica Acta","id":"ITEM-1","issue":"12","issued":{"date-parts":[["1982"]]},"page":"2609-2620","title":"The speciation of water in silicate melts","type":"article-journal","volume":"46"},"uris":["http://www.mendeley.com/documents/?uuid=f2275e78-dd94-4be7-93e4-d59e03db5048"]}],"mendeley":{"formattedCitation":"(Stolper, 1982b)","manualFormatting":"Stolper (1982)","plainTextFormattedCitation":"(Stolper, 1982b)","previouslyFormattedCitation":"(Stolper, 1982b)"},"properties":{"noteIndex":0},"schema":"https://github.com/citation-style-language/schema/raw/master/csl-citation.json"}</w:instrText>
      </w:r>
      <w:r w:rsidR="00225C80">
        <w:rPr>
          <w:rFonts w:ascii="Times New Roman" w:hAnsi="Times New Roman"/>
        </w:rPr>
        <w:fldChar w:fldCharType="separate"/>
      </w:r>
      <w:r w:rsidR="00225C80" w:rsidRPr="00225C80">
        <w:rPr>
          <w:rFonts w:ascii="Times New Roman" w:hAnsi="Times New Roman"/>
          <w:noProof/>
        </w:rPr>
        <w:t xml:space="preserve">Stolper </w:t>
      </w:r>
      <w:r w:rsidR="00225C80">
        <w:rPr>
          <w:rFonts w:ascii="Times New Roman" w:hAnsi="Times New Roman"/>
          <w:noProof/>
        </w:rPr>
        <w:t>(</w:t>
      </w:r>
      <w:r w:rsidR="00225C80" w:rsidRPr="00225C80">
        <w:rPr>
          <w:rFonts w:ascii="Times New Roman" w:hAnsi="Times New Roman"/>
          <w:noProof/>
        </w:rPr>
        <w:t>1982)</w:t>
      </w:r>
      <w:r w:rsidR="00225C80">
        <w:rPr>
          <w:rFonts w:ascii="Times New Roman" w:hAnsi="Times New Roman"/>
        </w:rPr>
        <w:fldChar w:fldCharType="end"/>
      </w:r>
      <w:r w:rsidRPr="00AB0222">
        <w:rPr>
          <w:rFonts w:ascii="Times New Roman" w:hAnsi="Times New Roman"/>
        </w:rPr>
        <w:t>, if we assume all species are ideal (all</w:t>
      </w:r>
      <w:r w:rsidR="00BD5138">
        <w:rPr>
          <w:rFonts w:ascii="Times New Roman" w:hAnsi="Times New Roman"/>
        </w:rPr>
        <w:t xml:space="preserve"> </w:t>
      </w:r>
      <w:proofErr w:type="spellStart"/>
      <w:r w:rsidR="00BD5138" w:rsidRPr="00B67966">
        <w:rPr>
          <w:rFonts w:ascii="Times New Roman" w:hAnsi="Times New Roman"/>
          <w:i/>
          <w:iCs/>
          <w:color w:val="000000" w:themeColor="text1"/>
        </w:rPr>
        <w:t>γ</w:t>
      </w:r>
      <w:r w:rsidR="00BD5138" w:rsidRPr="00FD2F77">
        <w:rPr>
          <w:rFonts w:ascii="Times New Roman" w:hAnsi="Times New Roman"/>
          <w:i/>
          <w:iCs/>
          <w:color w:val="000000" w:themeColor="text1"/>
          <w:vertAlign w:val="superscript"/>
        </w:rPr>
        <w:t>m</w:t>
      </w:r>
      <w:r w:rsidR="00BD5138" w:rsidRPr="00BD5138">
        <w:rPr>
          <w:rFonts w:ascii="Times New Roman" w:hAnsi="Times New Roman"/>
          <w:i/>
          <w:iCs/>
          <w:color w:val="000000" w:themeColor="text1"/>
          <w:vertAlign w:val="subscript"/>
        </w:rPr>
        <w:t>i</w:t>
      </w:r>
      <w:proofErr w:type="spellEnd"/>
      <w:r w:rsidR="00BD5138">
        <w:rPr>
          <w:rFonts w:ascii="Times New Roman" w:hAnsi="Times New Roman"/>
        </w:rPr>
        <w:t xml:space="preserve"> = 1</w:t>
      </w:r>
      <w:r w:rsidRPr="00AB0222">
        <w:rPr>
          <w:rFonts w:ascii="Times New Roman" w:hAnsi="Times New Roman"/>
        </w:rPr>
        <w:t>) we can apply an ideal mixing model (no energetic interactions between these groups and with O</w:t>
      </w:r>
      <w:r w:rsidRPr="00AB0222">
        <w:rPr>
          <w:rFonts w:ascii="Times New Roman" w:hAnsi="Times New Roman"/>
          <w:vertAlign w:val="superscript"/>
        </w:rPr>
        <w:t>2-</w:t>
      </w:r>
      <w:r w:rsidRPr="00AB0222">
        <w:rPr>
          <w:rFonts w:ascii="Times New Roman" w:hAnsi="Times New Roman"/>
        </w:rPr>
        <w:t xml:space="preserve"> ions) and calculate </w:t>
      </w:r>
      <w:r w:rsidRPr="00AB0222">
        <w:rPr>
          <w:rFonts w:ascii="Times New Roman" w:hAnsi="Times New Roman"/>
          <w:i/>
          <w:iCs/>
        </w:rPr>
        <w:t>f</w:t>
      </w:r>
      <w:r w:rsidRPr="00AB0222">
        <w:rPr>
          <w:rFonts w:ascii="Times New Roman" w:hAnsi="Times New Roman"/>
          <w:vertAlign w:val="subscript"/>
        </w:rPr>
        <w:t>H2O</w:t>
      </w:r>
      <w:r w:rsidRPr="00AB0222">
        <w:rPr>
          <w:rFonts w:ascii="Times New Roman" w:hAnsi="Times New Roman"/>
        </w:rPr>
        <w:t xml:space="preserve"> from the total amount of H</w:t>
      </w:r>
      <w:r w:rsidRPr="00AB0222">
        <w:rPr>
          <w:rFonts w:ascii="Times New Roman" w:hAnsi="Times New Roman"/>
          <w:vertAlign w:val="subscript"/>
        </w:rPr>
        <w:t>2</w:t>
      </w:r>
      <w:r w:rsidRPr="00AB0222">
        <w:rPr>
          <w:rFonts w:ascii="Times New Roman" w:hAnsi="Times New Roman"/>
        </w:rPr>
        <w:t>O dissolved as H</w:t>
      </w:r>
      <w:r w:rsidRPr="00AB0222">
        <w:rPr>
          <w:rFonts w:ascii="Times New Roman" w:hAnsi="Times New Roman"/>
          <w:vertAlign w:val="subscript"/>
        </w:rPr>
        <w:t>2</w:t>
      </w:r>
      <w:r w:rsidRPr="00AB0222">
        <w:rPr>
          <w:rFonts w:ascii="Times New Roman" w:hAnsi="Times New Roman"/>
        </w:rPr>
        <w:t>O</w:t>
      </w:r>
      <w:r w:rsidRPr="00AB0222">
        <w:rPr>
          <w:rFonts w:ascii="Times New Roman" w:hAnsi="Times New Roman"/>
          <w:vertAlign w:val="subscript"/>
        </w:rPr>
        <w:t>mol</w:t>
      </w:r>
      <w:r w:rsidRPr="00AB0222">
        <w:rPr>
          <w:rFonts w:ascii="Times New Roman" w:hAnsi="Times New Roman"/>
        </w:rPr>
        <w:t xml:space="preserve"> and OH</w:t>
      </w:r>
      <w:r w:rsidRPr="00AB0222">
        <w:rPr>
          <w:rFonts w:ascii="Times New Roman" w:hAnsi="Times New Roman"/>
          <w:vertAlign w:val="superscript"/>
        </w:rPr>
        <w:t>-</w:t>
      </w:r>
      <w:r w:rsidRPr="00AB0222">
        <w:rPr>
          <w:rFonts w:ascii="Times New Roman" w:hAnsi="Times New Roman"/>
        </w:rPr>
        <w:t xml:space="preserve">. </w:t>
      </w:r>
      <w:r w:rsidR="00DD1786">
        <w:rPr>
          <w:rFonts w:ascii="Times New Roman" w:hAnsi="Times New Roman"/>
        </w:rPr>
        <w:t>O</w:t>
      </w:r>
      <w:r w:rsidRPr="00AB0222">
        <w:rPr>
          <w:rFonts w:ascii="Times New Roman" w:hAnsi="Times New Roman"/>
        </w:rPr>
        <w:t xml:space="preserve">ther models have been applied, such as a regular solution model, which must be solved numerically to calculate </w:t>
      </w:r>
      <w:r w:rsidR="00BD5138">
        <w:rPr>
          <w:rFonts w:ascii="Times New Roman" w:hAnsi="Times New Roman"/>
          <w:i/>
          <w:iCs/>
          <w:color w:val="000000" w:themeColor="text1"/>
        </w:rPr>
        <w:t>x</w:t>
      </w:r>
      <w:r w:rsidR="00BD5138" w:rsidRPr="00FD2F77">
        <w:rPr>
          <w:rFonts w:ascii="Times New Roman" w:hAnsi="Times New Roman"/>
          <w:i/>
          <w:iCs/>
          <w:color w:val="000000" w:themeColor="text1"/>
          <w:vertAlign w:val="superscript"/>
        </w:rPr>
        <w:t>m</w:t>
      </w:r>
      <w:r w:rsidR="00BD5138">
        <w:rPr>
          <w:rFonts w:ascii="Times New Roman" w:hAnsi="Times New Roman"/>
          <w:color w:val="000000" w:themeColor="text1"/>
          <w:vertAlign w:val="subscript"/>
        </w:rPr>
        <w:t>H2O</w:t>
      </w:r>
      <w:r w:rsidR="00BD5138" w:rsidRPr="00B67966">
        <w:rPr>
          <w:rFonts w:ascii="Times New Roman" w:hAnsi="Times New Roman"/>
          <w:color w:val="000000" w:themeColor="text1"/>
          <w:vertAlign w:val="subscript"/>
        </w:rPr>
        <w:t>,mol</w:t>
      </w:r>
      <w:r w:rsidRPr="00AB0222">
        <w:rPr>
          <w:rFonts w:ascii="Times New Roman" w:hAnsi="Times New Roman"/>
        </w:rPr>
        <w:t xml:space="preserve"> for a given </w:t>
      </w:r>
      <w:r w:rsidR="00BD5138">
        <w:rPr>
          <w:rFonts w:ascii="Times New Roman" w:hAnsi="Times New Roman"/>
          <w:i/>
          <w:iCs/>
          <w:color w:val="000000" w:themeColor="text1"/>
        </w:rPr>
        <w:t>x</w:t>
      </w:r>
      <w:r w:rsidR="00BD5138" w:rsidRPr="00FD2F77">
        <w:rPr>
          <w:rFonts w:ascii="Times New Roman" w:hAnsi="Times New Roman"/>
          <w:i/>
          <w:iCs/>
          <w:color w:val="000000" w:themeColor="text1"/>
          <w:vertAlign w:val="superscript"/>
        </w:rPr>
        <w:t>m</w:t>
      </w:r>
      <w:r w:rsidR="00BD5138">
        <w:rPr>
          <w:rFonts w:ascii="Times New Roman" w:hAnsi="Times New Roman"/>
          <w:color w:val="000000" w:themeColor="text1"/>
          <w:vertAlign w:val="subscript"/>
        </w:rPr>
        <w:t>H2O</w:t>
      </w:r>
      <w:r w:rsidR="00BD5138" w:rsidRPr="00B67966">
        <w:rPr>
          <w:rFonts w:ascii="Times New Roman" w:hAnsi="Times New Roman"/>
          <w:color w:val="000000" w:themeColor="text1"/>
          <w:vertAlign w:val="subscript"/>
        </w:rPr>
        <w:t>,</w:t>
      </w:r>
      <w:r w:rsidR="00BD5138">
        <w:rPr>
          <w:rFonts w:ascii="Times New Roman" w:hAnsi="Times New Roman"/>
          <w:color w:val="000000" w:themeColor="text1"/>
          <w:vertAlign w:val="subscript"/>
        </w:rPr>
        <w:t>T</w:t>
      </w:r>
      <w:r w:rsidRPr="00AB0222">
        <w:rPr>
          <w:rFonts w:ascii="Times New Roman" w:hAnsi="Times New Roman"/>
        </w:rPr>
        <w:t xml:space="preserve"> </w:t>
      </w:r>
      <w:r w:rsidR="00225C80">
        <w:rPr>
          <w:rFonts w:ascii="Times New Roman" w:hAnsi="Times New Roman"/>
        </w:rPr>
        <w:fldChar w:fldCharType="begin" w:fldLock="1"/>
      </w:r>
      <w:r w:rsidR="000F0BD4">
        <w:rPr>
          <w:rFonts w:ascii="Times New Roman" w:hAnsi="Times New Roman"/>
        </w:rPr>
        <w:instrText>ADDIN CSL_CITATION {"citationItems":[{"id":"ITEM-1","itemData":{"DOI":"10.1093/petrology/30.3.667","ISSN":"0022-3530","author":[{"dropping-particle":"","family":"Silver","given":"Lynn A.","non-dropping-particle":"","parse-names":false,"suffix":""},{"dropping-particle":"","family":"Stolper","given":"Edward M.","non-dropping-particle":"","parse-names":false,"suffix":""}],"container-title":"Journal of Petrology","id":"ITEM-1","issue":"3","issued":{"date-parts":[["1989","6","1"]]},"page":"667-709","publisher":"Oxford University Press","title":"Water in albitic glasses","type":"article-journal","volume":"30"},"uris":["http://www.mendeley.com/documents/?uuid=ed63e02d-de66-3b00-8523-7b9de0f7b2f2"]}],"mendeley":{"formattedCitation":"(Silver and Stolper, 1989)","plainTextFormattedCitation":"(Silver and Stolper, 1989)","previouslyFormattedCitation":"(Silver and Stolper, 1989)"},"properties":{"noteIndex":0},"schema":"https://github.com/citation-style-language/schema/raw/master/csl-citation.json"}</w:instrText>
      </w:r>
      <w:r w:rsidR="00225C80">
        <w:rPr>
          <w:rFonts w:ascii="Times New Roman" w:hAnsi="Times New Roman"/>
        </w:rPr>
        <w:fldChar w:fldCharType="separate"/>
      </w:r>
      <w:r w:rsidR="000F0BD4" w:rsidRPr="000F0BD4">
        <w:rPr>
          <w:rFonts w:ascii="Times New Roman" w:hAnsi="Times New Roman"/>
          <w:noProof/>
        </w:rPr>
        <w:t>(Silver and Stolper, 1989)</w:t>
      </w:r>
      <w:r w:rsidR="00225C80">
        <w:rPr>
          <w:rFonts w:ascii="Times New Roman" w:hAnsi="Times New Roman"/>
        </w:rPr>
        <w:fldChar w:fldCharType="end"/>
      </w:r>
      <w:r w:rsidRPr="00AB0222">
        <w:rPr>
          <w:rFonts w:ascii="Times New Roman" w:hAnsi="Times New Roman"/>
        </w:rPr>
        <w:t xml:space="preserve">. However, at </w:t>
      </w:r>
      <w:r w:rsidR="00E0491E">
        <w:rPr>
          <w:rFonts w:ascii="Times New Roman" w:hAnsi="Times New Roman"/>
        </w:rPr>
        <w:t xml:space="preserve">relatively </w:t>
      </w:r>
      <w:r w:rsidRPr="00AB0222">
        <w:rPr>
          <w:rFonts w:ascii="Times New Roman" w:hAnsi="Times New Roman"/>
        </w:rPr>
        <w:t>low total water contents OH</w:t>
      </w:r>
      <w:r w:rsidRPr="00AB0222">
        <w:rPr>
          <w:rFonts w:ascii="Times New Roman" w:hAnsi="Times New Roman"/>
          <w:vertAlign w:val="superscript"/>
        </w:rPr>
        <w:t>-</w:t>
      </w:r>
      <w:r w:rsidRPr="00AB0222">
        <w:rPr>
          <w:rFonts w:ascii="Times New Roman" w:hAnsi="Times New Roman"/>
        </w:rPr>
        <w:t xml:space="preserve"> dominates and therefore </w:t>
      </w:r>
      <w:r w:rsidR="00BD5138">
        <w:rPr>
          <w:rFonts w:ascii="Times New Roman" w:hAnsi="Times New Roman"/>
          <w:i/>
          <w:iCs/>
          <w:color w:val="000000" w:themeColor="text1"/>
        </w:rPr>
        <w:t>a</w:t>
      </w:r>
      <w:r w:rsidR="00BD5138" w:rsidRPr="00FD2F77">
        <w:rPr>
          <w:rFonts w:ascii="Times New Roman" w:hAnsi="Times New Roman"/>
          <w:i/>
          <w:iCs/>
          <w:color w:val="000000" w:themeColor="text1"/>
          <w:vertAlign w:val="superscript"/>
        </w:rPr>
        <w:t>m</w:t>
      </w:r>
      <w:r w:rsidR="00BD5138">
        <w:rPr>
          <w:rFonts w:ascii="Times New Roman" w:hAnsi="Times New Roman"/>
          <w:color w:val="000000" w:themeColor="text1"/>
          <w:vertAlign w:val="subscript"/>
        </w:rPr>
        <w:t>H2O</w:t>
      </w:r>
      <w:r w:rsidR="00BD5138" w:rsidRPr="00B67966">
        <w:rPr>
          <w:rFonts w:ascii="Times New Roman" w:hAnsi="Times New Roman"/>
          <w:color w:val="000000" w:themeColor="text1"/>
          <w:vertAlign w:val="subscript"/>
        </w:rPr>
        <w:t>,mol</w:t>
      </w:r>
      <w:r w:rsidR="00BD5138" w:rsidRPr="00BD5138">
        <w:rPr>
          <w:rFonts w:ascii="Times New Roman" w:hAnsi="Times New Roman"/>
          <w:color w:val="000000" w:themeColor="text1"/>
        </w:rPr>
        <w:t xml:space="preserve"> </w:t>
      </w:r>
      <m:oMath>
        <m:r>
          <w:rPr>
            <w:rFonts w:ascii="Cambria Math" w:hAnsi="Cambria Math"/>
          </w:rPr>
          <m:t>≈</m:t>
        </m:r>
      </m:oMath>
      <w:r w:rsidR="00BD5138" w:rsidRPr="00BD5138">
        <w:rPr>
          <w:rFonts w:ascii="Times New Roman" w:hAnsi="Times New Roman"/>
          <w:color w:val="000000" w:themeColor="text1"/>
        </w:rPr>
        <w:t xml:space="preserve"> </w:t>
      </w:r>
      <w:r w:rsidR="00BD5138" w:rsidRPr="00BD5138">
        <w:rPr>
          <w:rFonts w:ascii="Times New Roman" w:hAnsi="Times New Roman"/>
          <w:i/>
          <w:iCs/>
          <w:color w:val="000000" w:themeColor="text1"/>
        </w:rPr>
        <w:t>k</w:t>
      </w:r>
      <w:r w:rsidR="00BD5138" w:rsidRPr="00BD5138">
        <w:rPr>
          <w:rFonts w:ascii="Times New Roman" w:hAnsi="Times New Roman"/>
          <w:iCs/>
        </w:rPr>
        <w:t>(</w:t>
      </w:r>
      <w:r w:rsidR="00BD5138">
        <w:rPr>
          <w:rFonts w:ascii="Times New Roman" w:hAnsi="Times New Roman"/>
          <w:i/>
          <w:iCs/>
          <w:color w:val="000000" w:themeColor="text1"/>
        </w:rPr>
        <w:t>x</w:t>
      </w:r>
      <w:r w:rsidR="00BD5138" w:rsidRPr="00FD2F77">
        <w:rPr>
          <w:rFonts w:ascii="Times New Roman" w:hAnsi="Times New Roman"/>
          <w:i/>
          <w:iCs/>
          <w:color w:val="000000" w:themeColor="text1"/>
          <w:vertAlign w:val="superscript"/>
        </w:rPr>
        <w:t>m</w:t>
      </w:r>
      <w:r w:rsidR="00BD5138">
        <w:rPr>
          <w:rFonts w:ascii="Times New Roman" w:hAnsi="Times New Roman"/>
          <w:color w:val="000000" w:themeColor="text1"/>
          <w:vertAlign w:val="subscript"/>
        </w:rPr>
        <w:t>H2O</w:t>
      </w:r>
      <w:r w:rsidR="00BD5138" w:rsidRPr="00B67966">
        <w:rPr>
          <w:rFonts w:ascii="Times New Roman" w:hAnsi="Times New Roman"/>
          <w:color w:val="000000" w:themeColor="text1"/>
          <w:vertAlign w:val="subscript"/>
        </w:rPr>
        <w:t>,</w:t>
      </w:r>
      <w:r w:rsidR="00BD5138">
        <w:rPr>
          <w:rFonts w:ascii="Times New Roman" w:hAnsi="Times New Roman"/>
          <w:color w:val="000000" w:themeColor="text1"/>
          <w:vertAlign w:val="subscript"/>
        </w:rPr>
        <w:t>T</w:t>
      </w:r>
      <w:r w:rsidR="00BD5138" w:rsidRPr="00BD5138">
        <w:rPr>
          <w:rFonts w:ascii="Times New Roman" w:hAnsi="Times New Roman"/>
          <w:iCs/>
        </w:rPr>
        <w:t>)</w:t>
      </w:r>
      <w:r w:rsidR="00BD5138" w:rsidRPr="00BD5138">
        <w:rPr>
          <w:rFonts w:ascii="Times New Roman" w:hAnsi="Times New Roman"/>
          <w:iCs/>
          <w:vertAlign w:val="superscript"/>
        </w:rPr>
        <w:t>2</w:t>
      </w:r>
      <w:r w:rsidRPr="00AB0222">
        <w:rPr>
          <w:rFonts w:ascii="Times New Roman" w:hAnsi="Times New Roman"/>
        </w:rPr>
        <w:t xml:space="preserve"> (where </w:t>
      </w:r>
      <w:r w:rsidRPr="001C4A06">
        <w:rPr>
          <w:rFonts w:ascii="Times New Roman" w:hAnsi="Times New Roman"/>
          <w:i/>
          <w:iCs/>
        </w:rPr>
        <w:t>k</w:t>
      </w:r>
      <w:r w:rsidRPr="00AB0222">
        <w:rPr>
          <w:rFonts w:ascii="Times New Roman" w:hAnsi="Times New Roman"/>
        </w:rPr>
        <w:t xml:space="preserve"> is a constant</w:t>
      </w:r>
      <w:r w:rsidR="00225C80">
        <w:rPr>
          <w:rFonts w:ascii="Times New Roman" w:hAnsi="Times New Roman"/>
        </w:rPr>
        <w:t>;</w:t>
      </w:r>
      <w:r w:rsidRPr="00AB0222">
        <w:rPr>
          <w:rFonts w:ascii="Times New Roman" w:hAnsi="Times New Roman"/>
        </w:rPr>
        <w:t xml:space="preserve"> </w:t>
      </w:r>
      <w:r w:rsidR="00225C80">
        <w:rPr>
          <w:rFonts w:ascii="Times New Roman" w:hAnsi="Times New Roman"/>
        </w:rPr>
        <w:fldChar w:fldCharType="begin" w:fldLock="1"/>
      </w:r>
      <w:r w:rsidR="000F0BD4">
        <w:rPr>
          <w:rFonts w:ascii="Times New Roman" w:hAnsi="Times New Roman"/>
        </w:rPr>
        <w:instrText>ADDIN CSL_CITATION {"citationItems":[{"id":"ITEM-1","itemData":{"abstract":"Previous models of water solubility in silicate melts generally assume essentially complete reaction of water molecules to hydroxyl groups. In this paper a new model is proposed that is based on the hypothesis that the observed concentrations of molecular water and hydroxyl groups in hydrous silicate glasses reflect those of the melts from which they were quenched. The new model relates the proportions of molecular water and hydroxyl groups in melts via the following reaction describing the homogeneous equilibrium between melt species: H2Omolecular (melt) + oxygen (melt) = 2OH (melt). An equilibrium constant has been formulated for this reaction and species are assumed to mix ideally. Given an equilibrium constant for this reaction of 0.1–0.3, the proposed model can account for variations in the concentrations of molecular water and hydroxyl groups in melts as functions of the total dissolved water content that are similar to those observed in glasses. The solubility of molecular water in melt is described by the following reaction: H2O (vapor) = H2Omolecular (melt). These reactions describing the homogeneous and heterogeneous equilibria of hydrous silicate melts can account for the following observations: the linearity between fH2O and the square of the mole fraction of dissolved water at low total water contents and deviations from linearity at high total water contents; the difference between the partial molar volume of water in melts at low total water contents and at high total water contents; the similarity between water contents of vapor-saturated melts of significantly different compositions at high pressures versus the dependence on melt composition of water solubility in silicate melts at low pressures; and the variations of viscosity, electrical conductivity, the diffusivity of “water,” the diffusivity of cesium, and phase relationships with the total dissolved water contents of melts. This model is thus consistent with available observations on hydrous melt systems and available data on the species concentrations of hydrous glasses and is easily tested, since measurements of the concentrations of molecular water and hydroxyl groups in silicate glasses quenched from melts equilibrated over a range of conditions and total dissolved water contents are readily obtainable.","author":[{"dropping-particle":"","family":"Stolper","given":"Edward M.","non-dropping-particle":"","parse-names":false,"suffix":""}],"container-title":"Geochimica et Cosmochimica Acta","id":"ITEM-1","issue":"12","issued":{"date-parts":[["1982"]]},"page":"2609-2620","title":"The speciation of water in silicate melts","type":"article-journal","volume":"46"},"uris":["http://www.mendeley.com/documents/?uuid=f2275e78-dd94-4be7-93e4-d59e03db5048"]}],"mendeley":{"formattedCitation":"(Stolper, 1982b)","manualFormatting":"Stolper, 1982b)","plainTextFormattedCitation":"(Stolper, 1982b)","previouslyFormattedCitation":"(Stolper, 1982b)"},"properties":{"noteIndex":0},"schema":"https://github.com/citation-style-language/schema/raw/master/csl-citation.json"}</w:instrText>
      </w:r>
      <w:r w:rsidR="00225C80">
        <w:rPr>
          <w:rFonts w:ascii="Times New Roman" w:hAnsi="Times New Roman"/>
        </w:rPr>
        <w:fldChar w:fldCharType="separate"/>
      </w:r>
      <w:r w:rsidR="000F0BD4" w:rsidRPr="000F0BD4">
        <w:rPr>
          <w:rFonts w:ascii="Times New Roman" w:hAnsi="Times New Roman"/>
          <w:noProof/>
        </w:rPr>
        <w:t>Stolper, 1982b)</w:t>
      </w:r>
      <w:r w:rsidR="00225C80">
        <w:rPr>
          <w:rFonts w:ascii="Times New Roman" w:hAnsi="Times New Roman"/>
        </w:rPr>
        <w:fldChar w:fldCharType="end"/>
      </w:r>
      <w:r w:rsidRPr="00AB0222">
        <w:rPr>
          <w:rFonts w:ascii="Times New Roman" w:hAnsi="Times New Roman"/>
        </w:rPr>
        <w:t>. This relationship is known as Siefert’s law, and can be used to provide a reasonable approximation to</w:t>
      </w:r>
      <w:r w:rsidR="00BD5138">
        <w:rPr>
          <w:rFonts w:ascii="Times New Roman" w:hAnsi="Times New Roman"/>
        </w:rPr>
        <w:t xml:space="preserve"> </w:t>
      </w:r>
      <w:r w:rsidR="00BD5138" w:rsidRPr="00BD5138">
        <w:rPr>
          <w:rFonts w:ascii="Times New Roman" w:hAnsi="Times New Roman"/>
          <w:i/>
          <w:iCs/>
        </w:rPr>
        <w:t>f</w:t>
      </w:r>
      <w:r w:rsidR="00BD5138" w:rsidRPr="00BD5138">
        <w:rPr>
          <w:rFonts w:ascii="Times New Roman" w:hAnsi="Times New Roman"/>
          <w:vertAlign w:val="subscript"/>
        </w:rPr>
        <w:t>H2O</w:t>
      </w:r>
      <w:r w:rsidRPr="00AB0222">
        <w:rPr>
          <w:rFonts w:ascii="Times New Roman" w:hAnsi="Times New Roman"/>
        </w:rPr>
        <w:t xml:space="preserve"> up to ~</w:t>
      </w:r>
      <w:r w:rsidR="007747F1">
        <w:rPr>
          <w:rFonts w:ascii="Times New Roman" w:hAnsi="Times New Roman"/>
        </w:rPr>
        <w:t>6.4</w:t>
      </w:r>
      <w:r w:rsidRPr="00AB0222">
        <w:rPr>
          <w:rFonts w:ascii="Times New Roman" w:hAnsi="Times New Roman"/>
        </w:rPr>
        <w:t xml:space="preserve"> wt. % dissolved water</w:t>
      </w:r>
      <w:r w:rsidR="00225C80">
        <w:rPr>
          <w:rFonts w:ascii="Times New Roman" w:hAnsi="Times New Roman"/>
        </w:rPr>
        <w:t xml:space="preserve"> </w:t>
      </w:r>
      <w:r w:rsidR="00225C80">
        <w:rPr>
          <w:rFonts w:ascii="Times New Roman" w:hAnsi="Times New Roman"/>
        </w:rPr>
        <w:fldChar w:fldCharType="begin" w:fldLock="1"/>
      </w:r>
      <w:r w:rsidR="000F0BD4">
        <w:rPr>
          <w:rFonts w:ascii="Times New Roman" w:hAnsi="Times New Roman"/>
        </w:rPr>
        <w:instrText>ADDIN CSL_CITATION {"citationItems":[{"id":"ITEM-1","itemData":{"abstract":"Previous models of water solubility in silicate melts generally assume essentially complete reaction of water molecules to hydroxyl groups. In this paper a new model is proposed that is based on the hypothesis that the observed concentrations of molecular water and hydroxyl groups in hydrous silicate glasses reflect those of the melts from which they were quenched. The new model relates the proportions of molecular water and hydroxyl groups in melts via the following reaction describing the homogeneous equilibrium between melt species: H2Omolecular (melt) + oxygen (melt) = 2OH (melt). An equilibrium constant has been formulated for this reaction and species are assumed to mix ideally. Given an equilibrium constant for this reaction of 0.1–0.3, the proposed model can account for variations in the concentrations of molecular water and hydroxyl groups in melts as functions of the total dissolved water content that are similar to those observed in glasses. The solubility of molecular water in melt is described by the following reaction: H2O (vapor) = H2Omolecular (melt). These reactions describing the homogeneous and heterogeneous equilibria of hydrous silicate melts can account for the following observations: the linearity between fH2O and the square of the mole fraction of dissolved water at low total water contents and deviations from linearity at high total water contents; the difference between the partial molar volume of water in melts at low total water contents and at high total water contents; the similarity between water contents of vapor-saturated melts of significantly different compositions at high pressures versus the dependence on melt composition of water solubility in silicate melts at low pressures; and the variations of viscosity, electrical conductivity, the diffusivity of “water,” the diffusivity of cesium, and phase relationships with the total dissolved water contents of melts. This model is thus consistent with available observations on hydrous melt systems and available data on the species concentrations of hydrous glasses and is easily tested, since measurements of the concentrations of molecular water and hydroxyl groups in silicate glasses quenched from melts equilibrated over a range of conditions and total dissolved water contents are readily obtainable.","author":[{"dropping-particle":"","family":"Stolper","given":"Edward M.","non-dropping-particle":"","parse-names":false,"suffix":""}],"container-title":"Geochimica et Cosmochimica Acta","id":"ITEM-1","issue":"12","issued":{"date-parts":[["1982"]]},"page":"2609-2620","title":"The speciation of water in silicate melts","type":"article-journal","volume":"46"},"uris":["http://www.mendeley.com/documents/?uuid=f2275e78-dd94-4be7-93e4-d59e03db5048"]}],"mendeley":{"formattedCitation":"(Stolper, 1982b)","plainTextFormattedCitation":"(Stolper, 1982b)","previouslyFormattedCitation":"(Stolper, 1982b)"},"properties":{"noteIndex":0},"schema":"https://github.com/citation-style-language/schema/raw/master/csl-citation.json"}</w:instrText>
      </w:r>
      <w:r w:rsidR="00225C80">
        <w:rPr>
          <w:rFonts w:ascii="Times New Roman" w:hAnsi="Times New Roman"/>
        </w:rPr>
        <w:fldChar w:fldCharType="separate"/>
      </w:r>
      <w:r w:rsidR="000F0BD4" w:rsidRPr="000F0BD4">
        <w:rPr>
          <w:rFonts w:ascii="Times New Roman" w:hAnsi="Times New Roman"/>
          <w:noProof/>
        </w:rPr>
        <w:t>(Stolper, 1982b)</w:t>
      </w:r>
      <w:r w:rsidR="00225C80">
        <w:rPr>
          <w:rFonts w:ascii="Times New Roman" w:hAnsi="Times New Roman"/>
        </w:rPr>
        <w:fldChar w:fldCharType="end"/>
      </w:r>
      <w:r w:rsidRPr="00AB0222">
        <w:rPr>
          <w:rFonts w:ascii="Times New Roman" w:hAnsi="Times New Roman"/>
        </w:rPr>
        <w:t>. This results in the following equilibrium constant:</w:t>
      </w:r>
    </w:p>
    <w:p w14:paraId="227D753C" w14:textId="2F8953D1" w:rsidR="00AB0222" w:rsidRPr="00AB0222" w:rsidRDefault="00063B50" w:rsidP="00E31290">
      <w:pPr>
        <w:pStyle w:val="equation"/>
        <w:rPr>
          <w:rFonts w:ascii="Times New Roman" w:hAnsi="Times New Roman"/>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r>
                <m:rPr>
                  <m:sty m:val="p"/>
                </m:rPr>
                <w:rPr>
                  <w:rFonts w:ascii="Cambria Math" w:hAnsi="Cambria Math"/>
                </w:rPr>
                <m:t>=</m:t>
              </m:r>
              <m:f>
                <m:fPr>
                  <m:ctrlPr>
                    <w:rPr>
                      <w:rFonts w:ascii="Cambria Math" w:hAnsi="Cambria Math"/>
                    </w:rPr>
                  </m:ctrlPr>
                </m:fPr>
                <m:num>
                  <m:r>
                    <w:rPr>
                      <w:rFonts w:ascii="Cambria Math" w:hAnsi="Cambria Math"/>
                    </w:rPr>
                    <m:t>k</m:t>
                  </m:r>
                  <m:sSup>
                    <m:sSupPr>
                      <m:ctrlPr>
                        <w:rPr>
                          <w:rFonts w:ascii="Cambria Math" w:hAnsi="Cambria Math"/>
                          <w:i/>
                        </w:rPr>
                      </m:ctrlPr>
                    </m:sSupPr>
                    <m:e>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T</m:t>
                              </m:r>
                            </m:sub>
                          </m:sSub>
                        </m:sub>
                        <m:sup>
                          <m:r>
                            <w:rPr>
                              <w:rFonts w:ascii="Cambria Math" w:hAnsi="Cambria Math"/>
                            </w:rPr>
                            <m:t>m</m:t>
                          </m:r>
                        </m:sup>
                      </m:sSubSup>
                      <m:r>
                        <w:rPr>
                          <w:rFonts w:ascii="Cambria Math" w:hAnsi="Cambria Math"/>
                        </w:rPr>
                        <m:t>)</m:t>
                      </m:r>
                    </m:e>
                    <m:sup>
                      <m:r>
                        <w:rPr>
                          <w:rFonts w:ascii="Cambria Math" w:hAnsi="Cambria Math"/>
                        </w:rPr>
                        <m:t>2</m:t>
                      </m:r>
                    </m:sup>
                  </m:s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den>
              </m:f>
              <m:r>
                <w:rPr>
                  <w:rFonts w:ascii="Cambria Math" w:hAnsi="Cambria Math"/>
                </w:rPr>
                <m:t xml:space="preserve">, </m:t>
              </m:r>
            </m:e>
          </m:eqArr>
          <m:d>
            <m:dPr>
              <m:ctrlPr>
                <w:rPr>
                  <w:rFonts w:ascii="Cambria Math" w:hAnsi="Cambria Math"/>
                  <w:i/>
                </w:rPr>
              </m:ctrlPr>
            </m:dPr>
            <m:e>
              <m:r>
                <m:rPr>
                  <m:sty m:val="p"/>
                </m:rPr>
                <w:rPr>
                  <w:rFonts w:ascii="Cambria Math" w:hAnsi="Cambria Math"/>
                </w:rPr>
                <m:t>S20</m:t>
              </m:r>
            </m:e>
          </m:d>
        </m:oMath>
      </m:oMathPara>
    </w:p>
    <w:p w14:paraId="7A6885DA" w14:textId="55FC8F99" w:rsidR="007747F1" w:rsidRDefault="001054A1" w:rsidP="007747F1">
      <w:pPr>
        <w:jc w:val="both"/>
        <w:rPr>
          <w:rFonts w:ascii="Times New Roman" w:hAnsi="Times New Roman" w:cs="Times New Roman"/>
        </w:rPr>
      </w:pPr>
      <w:r>
        <w:rPr>
          <w:rFonts w:ascii="Times New Roman" w:hAnsi="Times New Roman" w:cs="Times New Roman"/>
        </w:rPr>
        <w:t>w</w:t>
      </w:r>
      <w:r w:rsidR="007747F1">
        <w:rPr>
          <w:rFonts w:ascii="Times New Roman" w:hAnsi="Times New Roman" w:cs="Times New Roman"/>
        </w:rPr>
        <w:t xml:space="preserve">hich becomes the following when </w:t>
      </w:r>
      <w:r w:rsidR="00E0491E">
        <w:rPr>
          <w:rFonts w:ascii="Times New Roman" w:hAnsi="Times New Roman" w:cs="Times New Roman"/>
        </w:rPr>
        <w:t xml:space="preserve">combining the oxide activity, equilibrium constant, and </w:t>
      </w:r>
      <w:r w:rsidR="00E0491E" w:rsidRPr="00E0491E">
        <w:rPr>
          <w:rFonts w:ascii="Times New Roman" w:hAnsi="Times New Roman" w:cs="Times New Roman"/>
          <w:i/>
          <w:iCs/>
        </w:rPr>
        <w:t>k</w:t>
      </w:r>
      <w:r w:rsidR="00E0491E">
        <w:rPr>
          <w:rFonts w:ascii="Times New Roman" w:hAnsi="Times New Roman" w:cs="Times New Roman"/>
        </w:rPr>
        <w:t>-constant</w:t>
      </w:r>
      <w:r w:rsidR="007747F1">
        <w:rPr>
          <w:rFonts w:ascii="Times New Roman" w:hAnsi="Times New Roman" w:cs="Times New Roma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6"/>
        <w:gridCol w:w="750"/>
      </w:tblGrid>
      <w:tr w:rsidR="007747F1" w14:paraId="1DBBB4A7" w14:textId="77777777" w:rsidTr="007747F1">
        <w:tc>
          <w:tcPr>
            <w:tcW w:w="8359" w:type="dxa"/>
            <w:vAlign w:val="center"/>
          </w:tcPr>
          <w:p w14:paraId="5531DD8E" w14:textId="551DD060" w:rsidR="007747F1" w:rsidRDefault="00063B50" w:rsidP="00E31290">
            <w:pPr>
              <w:pStyle w:val="equation"/>
              <w:rPr>
                <w:rFonts w:ascii="Times New Roman" w:hAnsi="Times New Roman"/>
              </w:rPr>
            </w:pPr>
            <m:oMathPara>
              <m:oMath>
                <m:sSub>
                  <m:sSubPr>
                    <m:ctrlPr>
                      <w:rPr>
                        <w:rFonts w:ascii="Cambria Math" w:hAnsi="Cambria Math"/>
                        <w:iCs/>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r>
                  <m:rPr>
                    <m:sty m:val="p"/>
                  </m:rPr>
                  <w:rPr>
                    <w:rFonts w:ascii="Cambria Math" w:hAnsi="Cambria Math"/>
                  </w:rPr>
                  <m:t>≈</m:t>
                </m:r>
                <m:f>
                  <m:fPr>
                    <m:ctrlPr>
                      <w:rPr>
                        <w:rFonts w:ascii="Cambria Math" w:hAnsi="Cambria Math"/>
                        <w:iCs/>
                      </w:rPr>
                    </m:ctrlPr>
                  </m:fPr>
                  <m:num>
                    <m:sSup>
                      <m:sSupPr>
                        <m:ctrlPr>
                          <w:rPr>
                            <w:rFonts w:ascii="Cambria Math" w:hAnsi="Cambria Math"/>
                            <w:iCs/>
                          </w:rPr>
                        </m:ctrlPr>
                      </m:sSupPr>
                      <m:e>
                        <m:d>
                          <m:dPr>
                            <m:ctrlPr>
                              <w:rPr>
                                <w:rFonts w:ascii="Cambria Math" w:hAnsi="Cambria Math"/>
                                <w:iCs/>
                              </w:rPr>
                            </m:ctrlPr>
                          </m:dPr>
                          <m:e>
                            <m:sSubSup>
                              <m:sSubSupPr>
                                <m:ctrlPr>
                                  <w:rPr>
                                    <w:rFonts w:ascii="Cambria Math" w:hAnsi="Cambria Math"/>
                                    <w:iCs/>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T</m:t>
                                    </m:r>
                                  </m:sub>
                                </m:sSub>
                              </m:sub>
                              <m:sup>
                                <m:r>
                                  <w:rPr>
                                    <w:rFonts w:ascii="Cambria Math" w:hAnsi="Cambria Math"/>
                                  </w:rPr>
                                  <m:t>m</m:t>
                                </m:r>
                              </m:sup>
                            </m:sSubSup>
                          </m:e>
                        </m:d>
                      </m:e>
                      <m:sup>
                        <m:r>
                          <m:rPr>
                            <m:sty m:val="p"/>
                          </m:rPr>
                          <w:rPr>
                            <w:rFonts w:ascii="Cambria Math" w:hAnsi="Cambria Math"/>
                          </w:rPr>
                          <m:t>2</m:t>
                        </m:r>
                      </m:sup>
                    </m:sSup>
                  </m:num>
                  <m:den>
                    <m:sSub>
                      <m:sSubPr>
                        <m:ctrlPr>
                          <w:rPr>
                            <w:rFonts w:ascii="Cambria Math" w:hAnsi="Cambria Math"/>
                            <w:iCs/>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Sub>
                          <m:sSubPr>
                            <m:ctrlPr>
                              <w:rPr>
                                <w:rFonts w:ascii="Cambria Math" w:hAnsi="Cambria Math"/>
                                <w:iCs/>
                              </w:rPr>
                            </m:ctrlPr>
                          </m:sSubPr>
                          <m:e>
                            <m:r>
                              <m:rPr>
                                <m:sty m:val="p"/>
                              </m:rPr>
                              <w:rPr>
                                <w:rFonts w:ascii="Cambria Math" w:hAnsi="Cambria Math"/>
                              </w:rPr>
                              <m:t>O</m:t>
                            </m:r>
                          </m:e>
                          <m:sub>
                            <m:r>
                              <m:rPr>
                                <m:sty m:val="p"/>
                              </m:rPr>
                              <w:rPr>
                                <w:rFonts w:ascii="Cambria Math" w:hAnsi="Cambria Math"/>
                              </w:rPr>
                              <m:t>T</m:t>
                            </m:r>
                          </m:sub>
                        </m:sSub>
                      </m:sub>
                    </m:sSub>
                  </m:den>
                </m:f>
                <m:r>
                  <m:rPr>
                    <m:sty m:val="p"/>
                  </m:rPr>
                  <w:rPr>
                    <w:rFonts w:ascii="Cambria Math" w:hAnsi="Cambria Math"/>
                  </w:rPr>
                  <m:t>.</m:t>
                </m:r>
              </m:oMath>
            </m:oMathPara>
          </w:p>
        </w:tc>
        <w:tc>
          <w:tcPr>
            <w:tcW w:w="657" w:type="dxa"/>
            <w:vAlign w:val="center"/>
          </w:tcPr>
          <w:p w14:paraId="750D63D4" w14:textId="73CFCD03" w:rsidR="007747F1" w:rsidRDefault="007747F1" w:rsidP="007747F1">
            <w:pPr>
              <w:jc w:val="center"/>
              <w:rPr>
                <w:rFonts w:ascii="Times New Roman" w:hAnsi="Times New Roman" w:cs="Times New Roman"/>
              </w:rPr>
            </w:pPr>
            <w:r>
              <w:rPr>
                <w:rFonts w:ascii="Times New Roman" w:hAnsi="Times New Roman" w:cs="Times New Roman"/>
              </w:rPr>
              <w:t>(</w:t>
            </w:r>
            <w:r w:rsidR="003C231C">
              <w:rPr>
                <w:rFonts w:ascii="Times New Roman" w:hAnsi="Times New Roman" w:cs="Times New Roman"/>
              </w:rPr>
              <w:t>S</w:t>
            </w:r>
            <w:r w:rsidR="001C4A06">
              <w:rPr>
                <w:rFonts w:ascii="Times New Roman" w:hAnsi="Times New Roman" w:cs="Times New Roman"/>
              </w:rPr>
              <w:t>2</w:t>
            </w:r>
            <w:r w:rsidR="00F92A05">
              <w:rPr>
                <w:rFonts w:ascii="Times New Roman" w:hAnsi="Times New Roman" w:cs="Times New Roman"/>
              </w:rPr>
              <w:t>1</w:t>
            </w:r>
            <w:r>
              <w:rPr>
                <w:rFonts w:ascii="Times New Roman" w:hAnsi="Times New Roman" w:cs="Times New Roman"/>
              </w:rPr>
              <w:t>)</w:t>
            </w:r>
          </w:p>
        </w:tc>
      </w:tr>
    </w:tbl>
    <w:p w14:paraId="711DB575" w14:textId="44B3E2F6" w:rsidR="00F43AE8" w:rsidRPr="006B6E47" w:rsidRDefault="008355C9" w:rsidP="0022237F">
      <w:pPr>
        <w:spacing w:after="240"/>
        <w:jc w:val="both"/>
        <w:rPr>
          <w:rFonts w:ascii="Times New Roman" w:hAnsi="Times New Roman" w:cs="Times New Roman"/>
        </w:rPr>
      </w:pPr>
      <w:r>
        <w:rPr>
          <w:rFonts w:ascii="Times New Roman" w:hAnsi="Times New Roman" w:cs="Times New Roman"/>
        </w:rPr>
        <w:tab/>
      </w:r>
      <w:r w:rsidR="00F43AE8">
        <w:rPr>
          <w:rFonts w:ascii="Times New Roman" w:hAnsi="Times New Roman" w:cs="Times New Roman"/>
        </w:rPr>
        <w:t xml:space="preserve">The solubility of water does not appear to depend heavily on </w:t>
      </w:r>
      <w:r w:rsidR="00F43AE8">
        <w:rPr>
          <w:rFonts w:ascii="Times New Roman" w:hAnsi="Times New Roman" w:cs="Times New Roman"/>
          <w:i/>
          <w:iCs/>
        </w:rPr>
        <w:t>P</w:t>
      </w:r>
      <w:r w:rsidR="00F43AE8">
        <w:rPr>
          <w:rFonts w:ascii="Times New Roman" w:hAnsi="Times New Roman" w:cs="Times New Roman"/>
        </w:rPr>
        <w:t xml:space="preserve">, </w:t>
      </w:r>
      <w:r w:rsidR="00F43AE8">
        <w:rPr>
          <w:rFonts w:ascii="Times New Roman" w:hAnsi="Times New Roman" w:cs="Times New Roman"/>
          <w:i/>
          <w:iCs/>
        </w:rPr>
        <w:t>T</w:t>
      </w:r>
      <w:r w:rsidR="00F43AE8">
        <w:rPr>
          <w:rFonts w:ascii="Times New Roman" w:hAnsi="Times New Roman" w:cs="Times New Roman"/>
        </w:rPr>
        <w:t>, or melt composition</w:t>
      </w:r>
      <w:r w:rsidR="003A564F">
        <w:rPr>
          <w:rFonts w:ascii="Times New Roman" w:hAnsi="Times New Roman" w:cs="Times New Roman"/>
        </w:rPr>
        <w:t xml:space="preserve"> </w:t>
      </w:r>
      <w:r w:rsidR="000A3874">
        <w:rPr>
          <w:rFonts w:ascii="Times New Roman" w:hAnsi="Times New Roman" w:cs="Times New Roman"/>
        </w:rPr>
        <w:fldChar w:fldCharType="begin" w:fldLock="1"/>
      </w:r>
      <w:r w:rsidR="003910EA">
        <w:rPr>
          <w:rFonts w:ascii="Times New Roman" w:hAnsi="Times New Roman" w:cs="Times New Roman"/>
        </w:rPr>
        <w:instrText xml:space="preserve">ADDIN CSL_CITATION {"citationItems":[{"id":"ITEM-1","itemData":{"DOI":"10.2138/AM-1998-1-203","ISSN":"0003-004X","abstract":"We present 16 new manometric determinations of H2O solubility for a range of natural silicate liquid compositions equilibrated up to 3 kbar of H2O pressure. As the threshold temperature of dehydration of the quenched glasses during measurements of the H2O content becomes lower as a function both of bulk silicate composition and the dissolved H2O content, we measured the H2O released on heating over a range of temperature intervals. For example, alkali-rich samples having a dissolved H2O content greater than </w:instrText>
      </w:r>
      <w:r w:rsidR="003910EA">
        <w:rPr>
          <w:rFonts w:ascii="Cambria Math" w:hAnsi="Cambria Math" w:cs="Cambria Math"/>
        </w:rPr>
        <w:instrText>∼</w:instrText>
      </w:r>
      <w:r w:rsidR="003910EA">
        <w:rPr>
          <w:rFonts w:ascii="Times New Roman" w:hAnsi="Times New Roman" w:cs="Times New Roman"/>
        </w:rPr>
        <w:instrText xml:space="preserve">6 wt% start to evolve H2O at temperatures less than 150°C. whereas more mafic samples and silicic samples with less than 6 wt% H2O begin to dehydrate at temperatures greater than 200°C. This behavior is consistent with the concept that alkali-rich liquids can have their glass transition temperatures lowered substantially by dissolved H2O and that H2O is released only significantly on heating in the supercooled liquid region, rather than in the glass region. Using these new data, in conjunction with previous data from the literature, we refined and extended the empirical H2O solubility model of Moore et al. (1995b). The new model works well (2σ = ± 0.5 wt%) between 700-1200°C and 1-3000 bar and can be applied to any natural silicate liquid in that range. The model may also be used for systems where XH2O &lt; 1 in the vapor phase.","author":[{"dropping-particle":"","family":"Moore","given":"Gordon","non-dropping-particle":"","parse-names":false,"suffix":""},{"dropping-particle":"","family":"Vennemann","given":"Torsten","non-dropping-particle":"","parse-names":false,"suffix":""},{"dropping-particle":"","family":"Carmichael","given":"I. S.E.","non-dropping-particle":"","parse-names":false,"suffix":""}],"container-title":"American Mineralogist","id":"ITEM-1","issue":"1-2","issued":{"date-parts":[["1998","2","1"]]},"page":"36-42","publisher":"GeoScienceWorld","title":"An empirical model for the solubility of H 2 O in magmas to 3 kilobars","type":"article-journal","volume":"83"},"uris":["http://www.mendeley.com/documents/?uuid=a686d869-3f34-352e-92aa-cba55defc5fe"]},{"id":"ITEM-2","itemData":{"DOI":"10.1007/S00410-010-0588-X/FIGURES/12","ISSN":"00107999","abstract":"Experiments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Petrology","id":"ITEM-2","issue":"1","issued":{"date-parts":[["2011","7","13"]]},"page":"133-151","publisher":"Springer","title":"The H2O solubility of alkali basaltic melts: An experimental study","type":"article-journal","volume":"162"},"uris":["http://www.mendeley.com/documents/?uuid=0b473f09-3a8d-35f3-a370-20542d8405db"]},{"id":"ITEM-3","itemData":{"DOI":"10.1016/J.GCA.2012.08.035","ISSN":"0016-7037","abstract":"We present here new experimental data on H2O–CO2 solubility in mafic melts with variable chemical compositions (alkali basalt, lamproite and kamafugite) that extend the existing database. We show that potassium and calcium-rich melts can dissolve </w:instrText>
      </w:r>
      <w:r w:rsidR="003910EA">
        <w:rPr>
          <w:rFonts w:ascii="Cambria Math" w:hAnsi="Cambria Math" w:cs="Cambria Math"/>
        </w:rPr>
        <w:instrText>∼</w:instrText>
      </w:r>
      <w:r w:rsidR="003910EA">
        <w:rPr>
          <w:rFonts w:ascii="Times New Roman" w:hAnsi="Times New Roman" w:cs="Times New Roman"/>
        </w:rPr>
        <w:instrText>1wt% CO2 at 3500bar (350MPa) and 1200°C, whereas conventional models predict solubilities of 0.2–0.5wt%, under similar P–T conditions. These new data, together with those in the literature, stress the fundamental control of melt chemical composition on CO2 solubility. We present a semi-empirical H2O–CO2 solubility model for mafic melts, which employs simplified concepts of gas–melt thermodynamics coupled with a parameterization of both chemical composition and structure of the silicate melt. The model is calibrated on a selected database consisting of 289 experiments with 44 different mafic compositions. Statistical analyses of the experimental data indicate that, in mafic melts, the chemical composition and therefore the structure of the melt plays a fundamental role in CO2 solubility. CO2 solubility strongly depends on the amount of non-bridging oxygen per oxygen (NBO/O) in the melt, but the nature of the cation bonded to NBO is also critical. Alkalis (Na+K) bonded to NBO result in a strong enhancement of CO2 solubility, whereas Ca has a more moderate effect. Mg and Fe bonded to NBO have the weakest effect on CO2 solubility. Finally, we modelled the effect of water and concluded that H2O dissolution in the melt enhances CO2 solubility most likely by triggering NBO formation. In contrast with CO2 but in agreement with earlier findings, H2O solubility in mafic melts is negligibly affected by melt composition and structure: it only shows a weak correlation with NBO/O.","author":[{"dropping-particle":"","family":"Iacono-Marziano","given":"Giada","non-dropping-particle":"","parse-names":false,"suffix":""},{"dropping-particle":"","family":"Morizet","given":"Yann","non-dropping-particle":"","parse-names":false,"suffix":""},{"dropping-particle":"","family":"Trong","given":"Emmanuel","non-dropping-particle":"Le","parse-names":false,"suffix":""},{"dropping-particle":"","family":"Gaillard","given":"Fabrice","non-dropping-particle":"","parse-names":false,"suffix":""}],"container-title":"Geochimica et Cosmochimica Acta","id":"ITEM-3","issued":{"date-parts":[["2012","11","15"]]},"page":"1-23","publisher":"Pergamon","title":"New experimental data and semi-empirical parameterization of H2O–CO2 solubility in mafic melts","type":"article-journal","volume":"97"},"uris":["http://www.mendeley.com/documents/?uuid=66182907-22cf-3375-83a3-7a7b21bf494b"]},{"id":"ITEM-4","itemData":{"DOI":"10.1007/S00410-022-01903-Y/FIGURES/10","ISSN":"14320967","abstract":"The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Petrology","id":"ITEM-4","issue":"3","issued":{"date-parts":[["2022","3","1"]]},"page":"1-22","publisher":"Springer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 Iacono-Marziano et al., 2012; Lesne et al., 2011; Moore et al., 1998)","manualFormatting":"(e.g., Allison et al., 2022; Iacono-Marziano et al., 2012; Lesne et al., 2011; Moore et al., 1998)","plainTextFormattedCitation":"(Allison et al., 2022; Iacono-Marziano et al., 2012; Lesne et al., 2011; Moore et al., 1998)","previouslyFormattedCitation":"(Allison et al., 2022; Iacono-Marziano et al., 2012; Lesne et al., 2011; Moore et al., 1998)"},"properties":{"noteIndex":0},"schema":"https://github.com/citation-style-language/schema/raw/master/csl-citation.json"}</w:instrText>
      </w:r>
      <w:r w:rsidR="000A3874">
        <w:rPr>
          <w:rFonts w:ascii="Times New Roman" w:hAnsi="Times New Roman" w:cs="Times New Roman"/>
        </w:rPr>
        <w:fldChar w:fldCharType="separate"/>
      </w:r>
      <w:r w:rsidR="003910EA" w:rsidRPr="003910EA">
        <w:rPr>
          <w:rFonts w:ascii="Times New Roman" w:hAnsi="Times New Roman" w:cs="Times New Roman"/>
          <w:noProof/>
        </w:rPr>
        <w:t>(</w:t>
      </w:r>
      <w:r w:rsidR="003910EA">
        <w:rPr>
          <w:rFonts w:ascii="Times New Roman" w:hAnsi="Times New Roman" w:cs="Times New Roman"/>
          <w:noProof/>
        </w:rPr>
        <w:t xml:space="preserve">e.g., </w:t>
      </w:r>
      <w:r w:rsidR="003910EA" w:rsidRPr="003910EA">
        <w:rPr>
          <w:rFonts w:ascii="Times New Roman" w:hAnsi="Times New Roman" w:cs="Times New Roman"/>
          <w:noProof/>
        </w:rPr>
        <w:t>Allison et al., 2022; Iacono-Marziano et al., 2012; Lesne et al., 2011; Moore et al., 1998)</w:t>
      </w:r>
      <w:r w:rsidR="000A3874">
        <w:rPr>
          <w:rFonts w:ascii="Times New Roman" w:hAnsi="Times New Roman" w:cs="Times New Roman"/>
        </w:rPr>
        <w:fldChar w:fldCharType="end"/>
      </w:r>
      <w:r w:rsidR="000A3874">
        <w:rPr>
          <w:rFonts w:ascii="Times New Roman" w:hAnsi="Times New Roman" w:cs="Times New Roman"/>
        </w:rPr>
        <w:t>: hence, we do not incorporate any dependency on these parameters</w:t>
      </w:r>
      <w:r w:rsidR="00BD5138">
        <w:rPr>
          <w:rFonts w:ascii="Times New Roman" w:hAnsi="Times New Roman" w:cs="Times New Roman"/>
        </w:rPr>
        <w:t xml:space="preserve"> into </w:t>
      </w:r>
      <w:r w:rsidR="00BD5138" w:rsidRPr="00BD5138">
        <w:rPr>
          <w:rFonts w:ascii="Times New Roman" w:hAnsi="Times New Roman" w:cs="Times New Roman"/>
          <w:i/>
          <w:iCs/>
        </w:rPr>
        <w:t>C</w:t>
      </w:r>
      <w:r w:rsidR="00BD5138" w:rsidRPr="00BD5138">
        <w:rPr>
          <w:rFonts w:ascii="Times New Roman" w:hAnsi="Times New Roman" w:cs="Times New Roman"/>
          <w:vertAlign w:val="subscript"/>
        </w:rPr>
        <w:t>H2OT</w:t>
      </w:r>
      <w:r w:rsidR="005D329E">
        <w:rPr>
          <w:rFonts w:ascii="Times New Roman" w:hAnsi="Times New Roman" w:cs="Times New Roman"/>
        </w:rPr>
        <w:t xml:space="preserve"> (e.g., there is no </w:t>
      </w:r>
      <w:r w:rsidR="005D329E" w:rsidRPr="00B67966">
        <w:rPr>
          <w:rFonts w:ascii="Times New Roman" w:eastAsiaTheme="minorEastAsia" w:hAnsi="Times New Roman" w:cs="Times New Roman"/>
          <w:iCs/>
        </w:rPr>
        <w:t>Δ</w:t>
      </w:r>
      <w:r w:rsidR="005D329E" w:rsidRPr="00B016E9">
        <w:rPr>
          <w:rFonts w:ascii="Times New Roman" w:eastAsiaTheme="minorEastAsia" w:hAnsi="Times New Roman" w:cs="Times New Roman"/>
          <w:i/>
        </w:rPr>
        <w:t>V</w:t>
      </w:r>
      <w:r w:rsidR="005D329E">
        <w:rPr>
          <w:rFonts w:ascii="Times New Roman" w:eastAsiaTheme="minorEastAsia" w:hAnsi="Times New Roman" w:cs="Times New Roman"/>
          <w:iCs/>
        </w:rPr>
        <w:t xml:space="preserve"> term</w:t>
      </w:r>
      <w:r w:rsidR="005D329E">
        <w:rPr>
          <w:rFonts w:ascii="Times New Roman" w:hAnsi="Times New Roman" w:cs="Times New Roman"/>
        </w:rPr>
        <w:t>)</w:t>
      </w:r>
      <w:r w:rsidR="00F43AE8">
        <w:rPr>
          <w:rFonts w:ascii="Times New Roman" w:hAnsi="Times New Roman" w:cs="Times New Roman"/>
        </w:rPr>
        <w:t xml:space="preserve">. </w:t>
      </w:r>
      <w:r w:rsidR="00BD5138">
        <w:rPr>
          <w:rFonts w:ascii="Times New Roman" w:hAnsi="Times New Roman" w:cs="Times New Roman"/>
        </w:rPr>
        <w:t xml:space="preserve">To calculate </w:t>
      </w:r>
      <w:r w:rsidR="00BD5138" w:rsidRPr="00BD5138">
        <w:rPr>
          <w:rFonts w:ascii="Times New Roman" w:hAnsi="Times New Roman" w:cs="Times New Roman"/>
          <w:i/>
          <w:iCs/>
        </w:rPr>
        <w:t>C</w:t>
      </w:r>
      <w:r w:rsidR="00BD5138" w:rsidRPr="00BD5138">
        <w:rPr>
          <w:rFonts w:ascii="Times New Roman" w:hAnsi="Times New Roman" w:cs="Times New Roman"/>
          <w:vertAlign w:val="subscript"/>
        </w:rPr>
        <w:t>H2OT</w:t>
      </w:r>
      <w:r w:rsidR="00BD5138">
        <w:rPr>
          <w:rFonts w:ascii="Times New Roman" w:hAnsi="Times New Roman" w:cs="Times New Roman"/>
        </w:rPr>
        <w:t>, w</w:t>
      </w:r>
      <w:r w:rsidR="00F43AE8">
        <w:rPr>
          <w:rFonts w:ascii="Times New Roman" w:hAnsi="Times New Roman" w:cs="Times New Roman"/>
        </w:rPr>
        <w:t>e take the experimental data compiled by</w:t>
      </w:r>
      <w:r w:rsidR="00F81B70">
        <w:rPr>
          <w:rFonts w:ascii="Times New Roman" w:hAnsi="Times New Roman" w:cs="Times New Roman"/>
        </w:rPr>
        <w:t xml:space="preserve"> </w:t>
      </w:r>
      <w:r w:rsidR="00F81B70">
        <w:rPr>
          <w:rFonts w:ascii="Times New Roman" w:eastAsiaTheme="minorEastAsia" w:hAnsi="Times New Roman" w:cs="Times New Roman"/>
          <w:iCs/>
        </w:rPr>
        <w:fldChar w:fldCharType="begin" w:fldLock="1"/>
      </w:r>
      <w:r w:rsidR="00F81B70">
        <w:rPr>
          <w:rFonts w:ascii="Times New Roman" w:eastAsiaTheme="minorEastAsia" w:hAnsi="Times New Roman" w:cs="Times New Roman"/>
          <w:iCs/>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sidR="00F81B70">
        <w:rPr>
          <w:rFonts w:ascii="Times New Roman" w:eastAsiaTheme="minorEastAsia" w:hAnsi="Times New Roman" w:cs="Times New Roman"/>
          <w:iCs/>
        </w:rPr>
        <w:fldChar w:fldCharType="separate"/>
      </w:r>
      <w:r w:rsidR="00F81B70" w:rsidRPr="00F81B70">
        <w:rPr>
          <w:rFonts w:ascii="Times New Roman" w:eastAsiaTheme="minorEastAsia" w:hAnsi="Times New Roman" w:cs="Times New Roman"/>
          <w:iCs/>
          <w:noProof/>
        </w:rPr>
        <w:t xml:space="preserve">Allison et al. </w:t>
      </w:r>
      <w:r w:rsidR="00F81B70">
        <w:rPr>
          <w:rFonts w:ascii="Times New Roman" w:eastAsiaTheme="minorEastAsia" w:hAnsi="Times New Roman" w:cs="Times New Roman"/>
          <w:iCs/>
          <w:noProof/>
        </w:rPr>
        <w:t>(</w:t>
      </w:r>
      <w:r w:rsidR="00F81B70" w:rsidRPr="00F81B70">
        <w:rPr>
          <w:rFonts w:ascii="Times New Roman" w:eastAsiaTheme="minorEastAsia" w:hAnsi="Times New Roman" w:cs="Times New Roman"/>
          <w:iCs/>
          <w:noProof/>
        </w:rPr>
        <w:t>2022)</w:t>
      </w:r>
      <w:r w:rsidR="00F81B70">
        <w:rPr>
          <w:rFonts w:ascii="Times New Roman" w:eastAsiaTheme="minorEastAsia" w:hAnsi="Times New Roman" w:cs="Times New Roman"/>
          <w:iCs/>
        </w:rPr>
        <w:fldChar w:fldCharType="end"/>
      </w:r>
      <w:r w:rsidR="00C203DE">
        <w:rPr>
          <w:rFonts w:ascii="Times New Roman" w:hAnsi="Times New Roman" w:cs="Times New Roman"/>
        </w:rPr>
        <w:t>, which contains a wide range of basaltic melt compositions.</w:t>
      </w:r>
      <w:r w:rsidR="00F43AE8">
        <w:rPr>
          <w:rFonts w:ascii="Times New Roman" w:hAnsi="Times New Roman" w:cs="Times New Roman"/>
        </w:rPr>
        <w:t xml:space="preserve"> </w:t>
      </w:r>
      <w:r w:rsidR="00C203DE">
        <w:rPr>
          <w:rFonts w:ascii="Times New Roman" w:hAnsi="Times New Roman" w:cs="Times New Roman"/>
        </w:rPr>
        <w:t xml:space="preserve">We </w:t>
      </w:r>
      <w:r w:rsidR="00F43AE8">
        <w:rPr>
          <w:rFonts w:ascii="Times New Roman" w:hAnsi="Times New Roman" w:cs="Times New Roman"/>
        </w:rPr>
        <w:t>filter out data with H</w:t>
      </w:r>
      <w:r w:rsidR="00F43AE8" w:rsidRPr="005B7A37">
        <w:rPr>
          <w:rFonts w:ascii="Times New Roman" w:hAnsi="Times New Roman" w:cs="Times New Roman"/>
          <w:vertAlign w:val="subscript"/>
        </w:rPr>
        <w:t>2</w:t>
      </w:r>
      <w:r w:rsidR="00F43AE8">
        <w:rPr>
          <w:rFonts w:ascii="Times New Roman" w:hAnsi="Times New Roman" w:cs="Times New Roman"/>
        </w:rPr>
        <w:t xml:space="preserve">O contents higher than 6 </w:t>
      </w:r>
      <w:proofErr w:type="spellStart"/>
      <w:r w:rsidR="00F43AE8">
        <w:rPr>
          <w:rFonts w:ascii="Times New Roman" w:hAnsi="Times New Roman" w:cs="Times New Roman"/>
        </w:rPr>
        <w:t>wt</w:t>
      </w:r>
      <w:proofErr w:type="spellEnd"/>
      <w:r w:rsidR="00F43AE8">
        <w:rPr>
          <w:rFonts w:ascii="Times New Roman" w:hAnsi="Times New Roman" w:cs="Times New Roman"/>
        </w:rPr>
        <w:t xml:space="preserve">% </w:t>
      </w:r>
      <w:r w:rsidR="00C203DE">
        <w:rPr>
          <w:rFonts w:ascii="Times New Roman" w:hAnsi="Times New Roman" w:cs="Times New Roman"/>
        </w:rPr>
        <w:t xml:space="preserve">(remaining experimental conditions are 1050–1250 </w:t>
      </w:r>
      <w:r w:rsidR="00C203DE" w:rsidRPr="00C203DE">
        <w:rPr>
          <w:rFonts w:ascii="Times New Roman" w:hAnsi="Times New Roman" w:cs="Times New Roman"/>
        </w:rPr>
        <w:t>°</w:t>
      </w:r>
      <w:r w:rsidR="00C203DE">
        <w:rPr>
          <w:rFonts w:ascii="Times New Roman" w:hAnsi="Times New Roman" w:cs="Times New Roman"/>
        </w:rPr>
        <w:t xml:space="preserve">C and </w:t>
      </w:r>
      <w:r w:rsidR="00E64572">
        <w:rPr>
          <w:rFonts w:ascii="Times New Roman" w:hAnsi="Times New Roman" w:cs="Times New Roman"/>
        </w:rPr>
        <w:t>109–5000 bars</w:t>
      </w:r>
      <w:r w:rsidR="00C203DE">
        <w:rPr>
          <w:rFonts w:ascii="Times New Roman" w:hAnsi="Times New Roman" w:cs="Times New Roman"/>
        </w:rPr>
        <w:t xml:space="preserve">) </w:t>
      </w:r>
      <w:r w:rsidR="00F43AE8">
        <w:rPr>
          <w:rFonts w:ascii="Times New Roman" w:hAnsi="Times New Roman" w:cs="Times New Roman"/>
        </w:rPr>
        <w:t>and convert weight fraction to mole fraction</w:t>
      </w:r>
      <w:r w:rsidR="00C33A31">
        <w:rPr>
          <w:rFonts w:ascii="Times New Roman" w:hAnsi="Times New Roman" w:cs="Times New Roman"/>
        </w:rPr>
        <w:t xml:space="preserve"> on a singular oxygen basis</w:t>
      </w:r>
      <w:r w:rsidR="00F43AE8">
        <w:rPr>
          <w:rFonts w:ascii="Times New Roman" w:hAnsi="Times New Roman" w:cs="Times New Roman"/>
        </w:rPr>
        <w:t xml:space="preserve"> assuming a molecular weight of 36.594</w:t>
      </w:r>
      <w:r w:rsidR="003A564F">
        <w:rPr>
          <w:rFonts w:ascii="Times New Roman" w:hAnsi="Times New Roman" w:cs="Times New Roman"/>
        </w:rPr>
        <w:t xml:space="preserve"> g/mol</w:t>
      </w:r>
      <w:r w:rsidR="007721A4">
        <w:rPr>
          <w:rFonts w:ascii="Times New Roman" w:hAnsi="Times New Roman" w:cs="Times New Roman"/>
        </w:rPr>
        <w:t xml:space="preserve"> (this is the value used by </w:t>
      </w:r>
      <w:r w:rsidR="007721A4" w:rsidRPr="0013038B">
        <w:rPr>
          <w:rFonts w:ascii="Times New Roman" w:eastAsiaTheme="minorEastAsia" w:hAnsi="Times New Roman" w:cs="Times New Roman"/>
          <w:iCs/>
          <w:noProof/>
        </w:rPr>
        <w:t xml:space="preserve">Dixon et al. </w:t>
      </w:r>
      <w:r w:rsidR="007721A4">
        <w:rPr>
          <w:rFonts w:ascii="Times New Roman" w:eastAsiaTheme="minorEastAsia" w:hAnsi="Times New Roman" w:cs="Times New Roman"/>
          <w:iCs/>
          <w:noProof/>
        </w:rPr>
        <w:t>(</w:t>
      </w:r>
      <w:r w:rsidR="007721A4" w:rsidRPr="0013038B">
        <w:rPr>
          <w:rFonts w:ascii="Times New Roman" w:eastAsiaTheme="minorEastAsia" w:hAnsi="Times New Roman" w:cs="Times New Roman"/>
          <w:iCs/>
          <w:noProof/>
        </w:rPr>
        <w:t>1995</w:t>
      </w:r>
      <w:r w:rsidR="007721A4">
        <w:rPr>
          <w:rFonts w:ascii="Times New Roman" w:eastAsiaTheme="minorEastAsia" w:hAnsi="Times New Roman" w:cs="Times New Roman"/>
          <w:iCs/>
          <w:noProof/>
        </w:rPr>
        <w:t>) for their MORB composition, but it does not vary greatly between basalts</w:t>
      </w:r>
      <w:r w:rsidR="007721A4">
        <w:rPr>
          <w:rFonts w:ascii="Times New Roman" w:hAnsi="Times New Roman" w:cs="Times New Roman"/>
        </w:rPr>
        <w:t>)</w:t>
      </w:r>
      <w:r w:rsidR="00F43AE8">
        <w:rPr>
          <w:rFonts w:ascii="Times New Roman" w:hAnsi="Times New Roman" w:cs="Times New Roman"/>
        </w:rPr>
        <w:t>. We fit a straight line through the origin for</w:t>
      </w:r>
      <w:r w:rsidR="00D84AC5">
        <w:rPr>
          <w:rFonts w:ascii="Times New Roman" w:hAnsi="Times New Roman" w:cs="Times New Roman"/>
        </w:rPr>
        <w:t xml:space="preserve"> </w:t>
      </w:r>
      <w:r w:rsidR="00D84AC5" w:rsidRPr="00D84AC5">
        <w:rPr>
          <w:rFonts w:ascii="Times New Roman" w:hAnsi="Times New Roman" w:cs="Times New Roman"/>
          <w:i/>
          <w:iCs/>
        </w:rPr>
        <w:t>f</w:t>
      </w:r>
      <w:r w:rsidR="00D84AC5" w:rsidRPr="00D84AC5">
        <w:rPr>
          <w:rFonts w:ascii="Times New Roman" w:hAnsi="Times New Roman" w:cs="Times New Roman"/>
          <w:vertAlign w:val="subscript"/>
        </w:rPr>
        <w:t>H2O</w:t>
      </w:r>
      <w:r w:rsidR="00F43AE8">
        <w:rPr>
          <w:rFonts w:ascii="Times New Roman" w:eastAsiaTheme="minorEastAsia" w:hAnsi="Times New Roman" w:cs="Times New Roman"/>
          <w:iCs/>
        </w:rPr>
        <w:t xml:space="preserve"> against</w:t>
      </w:r>
      <w:r w:rsidR="00D84AC5">
        <w:rPr>
          <w:rFonts w:ascii="Times New Roman" w:eastAsiaTheme="minorEastAsia" w:hAnsi="Times New Roman" w:cs="Times New Roman"/>
          <w:iCs/>
        </w:rPr>
        <w:t xml:space="preserve"> (</w:t>
      </w:r>
      <w:r w:rsidR="00D84AC5" w:rsidRPr="00D84AC5">
        <w:rPr>
          <w:rFonts w:ascii="Times New Roman" w:eastAsiaTheme="minorEastAsia" w:hAnsi="Times New Roman" w:cs="Times New Roman"/>
          <w:i/>
        </w:rPr>
        <w:t>x</w:t>
      </w:r>
      <w:r w:rsidR="00D84AC5" w:rsidRPr="00D84AC5">
        <w:rPr>
          <w:rFonts w:ascii="Times New Roman" w:eastAsiaTheme="minorEastAsia" w:hAnsi="Times New Roman" w:cs="Times New Roman"/>
          <w:i/>
          <w:vertAlign w:val="superscript"/>
        </w:rPr>
        <w:t>m</w:t>
      </w:r>
      <w:r w:rsidR="00D84AC5" w:rsidRPr="00D84AC5">
        <w:rPr>
          <w:rFonts w:ascii="Times New Roman" w:eastAsiaTheme="minorEastAsia" w:hAnsi="Times New Roman" w:cs="Times New Roman"/>
          <w:iCs/>
          <w:vertAlign w:val="subscript"/>
        </w:rPr>
        <w:t>H2OT</w:t>
      </w:r>
      <w:r w:rsidR="00D84AC5">
        <w:rPr>
          <w:rFonts w:ascii="Times New Roman" w:eastAsiaTheme="minorEastAsia" w:hAnsi="Times New Roman" w:cs="Times New Roman"/>
          <w:iCs/>
        </w:rPr>
        <w:t>)</w:t>
      </w:r>
      <w:r w:rsidR="00D84AC5" w:rsidRPr="00D84AC5">
        <w:rPr>
          <w:rFonts w:ascii="Times New Roman" w:eastAsiaTheme="minorEastAsia" w:hAnsi="Times New Roman" w:cs="Times New Roman"/>
          <w:iCs/>
          <w:vertAlign w:val="superscript"/>
        </w:rPr>
        <w:t>2</w:t>
      </w:r>
      <w:r w:rsidR="00F43AE8">
        <w:rPr>
          <w:rFonts w:ascii="Times New Roman" w:eastAsiaTheme="minorEastAsia" w:hAnsi="Times New Roman" w:cs="Times New Roman"/>
          <w:iCs/>
        </w:rPr>
        <w:t xml:space="preserve">, which gives </w:t>
      </w:r>
      <w:r w:rsidR="00D84AC5" w:rsidRPr="00D84AC5">
        <w:rPr>
          <w:rFonts w:ascii="Times New Roman" w:eastAsiaTheme="minorEastAsia" w:hAnsi="Times New Roman" w:cs="Times New Roman"/>
          <w:i/>
        </w:rPr>
        <w:t>C</w:t>
      </w:r>
      <w:r w:rsidR="00D84AC5" w:rsidRPr="00D84AC5">
        <w:rPr>
          <w:rFonts w:ascii="Times New Roman" w:eastAsiaTheme="minorEastAsia" w:hAnsi="Times New Roman" w:cs="Times New Roman"/>
          <w:iCs/>
          <w:vertAlign w:val="subscript"/>
        </w:rPr>
        <w:t>H2OT</w:t>
      </w:r>
      <w:r w:rsidR="00F43AE8" w:rsidRPr="00931995">
        <w:rPr>
          <w:rFonts w:ascii="Times New Roman" w:hAnsi="Times New Roman" w:cs="Times New Roman"/>
        </w:rPr>
        <w:t xml:space="preserve"> = </w:t>
      </w:r>
      <w:r w:rsidR="00C203DE">
        <w:rPr>
          <w:rFonts w:ascii="Times New Roman" w:hAnsi="Times New Roman" w:cs="Times New Roman"/>
        </w:rPr>
        <w:t>4</w:t>
      </w:r>
      <w:r w:rsidR="00F43AE8" w:rsidRPr="00F81B70">
        <w:rPr>
          <w:rFonts w:ascii="Times New Roman" w:hAnsi="Times New Roman" w:cs="Times New Roman"/>
        </w:rPr>
        <w:t>.</w:t>
      </w:r>
      <w:r w:rsidR="00C203DE">
        <w:rPr>
          <w:rFonts w:ascii="Times New Roman" w:hAnsi="Times New Roman" w:cs="Times New Roman"/>
        </w:rPr>
        <w:t>6</w:t>
      </w:r>
      <w:r w:rsidR="00F43AE8">
        <w:rPr>
          <w:rFonts w:ascii="Times New Roman" w:hAnsi="Times New Roman" w:cs="Times New Roman"/>
        </w:rPr>
        <w:t>114</w:t>
      </w:r>
      <w:r w:rsidR="00F43AE8" w:rsidRPr="00F81B70">
        <w:rPr>
          <w:rFonts w:ascii="Times New Roman" w:hAnsi="Times New Roman" w:cs="Times New Roman"/>
        </w:rPr>
        <w:t xml:space="preserve"> × 10</w:t>
      </w:r>
      <w:r w:rsidR="00F43AE8" w:rsidRPr="00F81B70">
        <w:rPr>
          <w:rFonts w:ascii="Times New Roman" w:hAnsi="Times New Roman" w:cs="Times New Roman"/>
          <w:vertAlign w:val="superscript"/>
        </w:rPr>
        <w:t>-6</w:t>
      </w:r>
      <w:r w:rsidR="00F92A05">
        <w:rPr>
          <w:rFonts w:ascii="Times New Roman" w:hAnsi="Times New Roman" w:cs="Times New Roman"/>
        </w:rPr>
        <w:t xml:space="preserve"> (</w:t>
      </w:r>
      <w:r w:rsidR="00F92A05" w:rsidRPr="00F92A05">
        <w:rPr>
          <w:rFonts w:ascii="Times New Roman" w:hAnsi="Times New Roman" w:cs="Times New Roman"/>
        </w:rPr>
        <w:fldChar w:fldCharType="begin"/>
      </w:r>
      <w:r w:rsidR="00F92A05" w:rsidRPr="00F92A05">
        <w:rPr>
          <w:rFonts w:ascii="Times New Roman" w:hAnsi="Times New Roman" w:cs="Times New Roman"/>
        </w:rPr>
        <w:instrText xml:space="preserve"> REF _Ref127350444 \h </w:instrText>
      </w:r>
      <w:r w:rsidR="00F92A05">
        <w:rPr>
          <w:rFonts w:ascii="Times New Roman" w:hAnsi="Times New Roman" w:cs="Times New Roman"/>
        </w:rPr>
        <w:instrText xml:space="preserve"> \* MERGEFORMAT </w:instrText>
      </w:r>
      <w:r w:rsidR="00F92A05" w:rsidRPr="00F92A05">
        <w:rPr>
          <w:rFonts w:ascii="Times New Roman" w:hAnsi="Times New Roman" w:cs="Times New Roman"/>
        </w:rPr>
      </w:r>
      <w:r w:rsidR="00F92A05" w:rsidRPr="00F92A05">
        <w:rPr>
          <w:rFonts w:ascii="Times New Roman" w:hAnsi="Times New Roman" w:cs="Times New Roman"/>
        </w:rPr>
        <w:fldChar w:fldCharType="separate"/>
      </w:r>
      <w:r w:rsidR="00F92A05" w:rsidRPr="004168B8">
        <w:rPr>
          <w:rFonts w:ascii="Times New Roman" w:eastAsiaTheme="minorEastAsia" w:hAnsi="Times New Roman" w:cs="Times New Roman"/>
          <w:color w:val="000000" w:themeColor="text1"/>
        </w:rPr>
        <w:t xml:space="preserve">Figure </w:t>
      </w:r>
      <w:r w:rsidR="00F92A05" w:rsidRPr="004168B8">
        <w:rPr>
          <w:rFonts w:ascii="Times New Roman" w:hAnsi="Times New Roman" w:cs="Times New Roman"/>
          <w:color w:val="000000" w:themeColor="text1"/>
        </w:rPr>
        <w:t>S</w:t>
      </w:r>
      <w:r w:rsidR="00F92A05" w:rsidRPr="004168B8">
        <w:rPr>
          <w:rFonts w:ascii="Times New Roman" w:hAnsi="Times New Roman" w:cs="Times New Roman"/>
          <w:noProof/>
          <w:color w:val="000000" w:themeColor="text1"/>
        </w:rPr>
        <w:t>2</w:t>
      </w:r>
      <w:r w:rsidR="00F92A05" w:rsidRPr="00F92A05">
        <w:rPr>
          <w:rFonts w:ascii="Times New Roman" w:hAnsi="Times New Roman" w:cs="Times New Roman"/>
        </w:rPr>
        <w:fldChar w:fldCharType="end"/>
      </w:r>
      <w:r w:rsidR="00F92A05">
        <w:rPr>
          <w:rFonts w:ascii="Times New Roman" w:hAnsi="Times New Roman" w:cs="Times New Roman"/>
        </w:rPr>
        <w:t>).</w:t>
      </w:r>
      <w:r w:rsidR="00F43AE8">
        <w:rPr>
          <w:rFonts w:ascii="Times New Roman" w:hAnsi="Times New Roman" w:cs="Times New Roman"/>
        </w:rPr>
        <w:t xml:space="preserve"> </w:t>
      </w:r>
      <w:r w:rsidR="005D329E">
        <w:rPr>
          <w:rFonts w:ascii="Times New Roman" w:hAnsi="Times New Roman" w:cs="Times New Roman"/>
        </w:rPr>
        <w:t xml:space="preserve">Our water solubility is very similar to that of </w:t>
      </w:r>
      <w:r w:rsidR="00C33A31" w:rsidRPr="0013038B">
        <w:rPr>
          <w:rFonts w:ascii="Times New Roman" w:eastAsiaTheme="minorEastAsia" w:hAnsi="Times New Roman" w:cs="Times New Roman"/>
          <w:iCs/>
          <w:noProof/>
        </w:rPr>
        <w:t xml:space="preserve">Dixon et al. </w:t>
      </w:r>
      <w:r w:rsidR="00C33A31">
        <w:rPr>
          <w:rFonts w:ascii="Times New Roman" w:eastAsiaTheme="minorEastAsia" w:hAnsi="Times New Roman" w:cs="Times New Roman"/>
          <w:iCs/>
          <w:noProof/>
        </w:rPr>
        <w:t>(</w:t>
      </w:r>
      <w:r w:rsidR="00C33A31" w:rsidRPr="0013038B">
        <w:rPr>
          <w:rFonts w:ascii="Times New Roman" w:eastAsiaTheme="minorEastAsia" w:hAnsi="Times New Roman" w:cs="Times New Roman"/>
          <w:iCs/>
          <w:noProof/>
        </w:rPr>
        <w:t>1995</w:t>
      </w:r>
      <w:r w:rsidR="00C33A31">
        <w:rPr>
          <w:rFonts w:ascii="Times New Roman" w:eastAsiaTheme="minorEastAsia" w:hAnsi="Times New Roman" w:cs="Times New Roman"/>
          <w:iCs/>
          <w:noProof/>
        </w:rPr>
        <w:t xml:space="preserve">), </w:t>
      </w:r>
      <w:r w:rsidR="00B9491E">
        <w:rPr>
          <w:rFonts w:ascii="Times New Roman" w:eastAsiaTheme="minorEastAsia" w:hAnsi="Times New Roman" w:cs="Times New Roman"/>
          <w:iCs/>
          <w:noProof/>
        </w:rPr>
        <w:t>which</w:t>
      </w:r>
      <w:r w:rsidR="00C33A31">
        <w:rPr>
          <w:rFonts w:ascii="Times New Roman" w:eastAsiaTheme="minorEastAsia" w:hAnsi="Times New Roman" w:cs="Times New Roman"/>
          <w:iCs/>
          <w:noProof/>
        </w:rPr>
        <w:t xml:space="preserve"> use</w:t>
      </w:r>
      <w:r w:rsidR="00B9491E">
        <w:rPr>
          <w:rFonts w:ascii="Times New Roman" w:eastAsiaTheme="minorEastAsia" w:hAnsi="Times New Roman" w:cs="Times New Roman"/>
          <w:iCs/>
          <w:noProof/>
        </w:rPr>
        <w:t>s</w:t>
      </w:r>
      <w:r w:rsidR="00C33A31">
        <w:rPr>
          <w:rFonts w:ascii="Times New Roman" w:eastAsiaTheme="minorEastAsia" w:hAnsi="Times New Roman" w:cs="Times New Roman"/>
          <w:iCs/>
          <w:noProof/>
        </w:rPr>
        <w:t xml:space="preserve"> a regular solution model </w:t>
      </w:r>
      <w:r w:rsidR="00B9491E">
        <w:rPr>
          <w:rFonts w:ascii="Times New Roman" w:eastAsiaTheme="minorEastAsia" w:hAnsi="Times New Roman" w:cs="Times New Roman"/>
          <w:iCs/>
          <w:noProof/>
        </w:rPr>
        <w:t>with H</w:t>
      </w:r>
      <w:r w:rsidR="00B9491E" w:rsidRPr="00B9491E">
        <w:rPr>
          <w:rFonts w:ascii="Times New Roman" w:eastAsiaTheme="minorEastAsia" w:hAnsi="Times New Roman" w:cs="Times New Roman"/>
          <w:iCs/>
          <w:noProof/>
          <w:vertAlign w:val="subscript"/>
        </w:rPr>
        <w:t>2</w:t>
      </w:r>
      <w:r w:rsidR="00B9491E">
        <w:rPr>
          <w:rFonts w:ascii="Times New Roman" w:eastAsiaTheme="minorEastAsia" w:hAnsi="Times New Roman" w:cs="Times New Roman"/>
          <w:iCs/>
          <w:noProof/>
        </w:rPr>
        <w:t>O</w:t>
      </w:r>
      <w:r w:rsidR="00B9491E" w:rsidRPr="00B9491E">
        <w:rPr>
          <w:rFonts w:ascii="Times New Roman" w:eastAsiaTheme="minorEastAsia" w:hAnsi="Times New Roman" w:cs="Times New Roman"/>
          <w:iCs/>
          <w:noProof/>
          <w:vertAlign w:val="subscript"/>
        </w:rPr>
        <w:t>mol</w:t>
      </w:r>
      <w:r w:rsidR="00B9491E">
        <w:rPr>
          <w:rFonts w:ascii="Times New Roman" w:eastAsiaTheme="minorEastAsia" w:hAnsi="Times New Roman" w:cs="Times New Roman"/>
          <w:iCs/>
          <w:noProof/>
        </w:rPr>
        <w:t xml:space="preserve"> and OH</w:t>
      </w:r>
      <w:r w:rsidR="00B9491E" w:rsidRPr="00B9491E">
        <w:rPr>
          <w:rFonts w:ascii="Times New Roman" w:eastAsiaTheme="minorEastAsia" w:hAnsi="Times New Roman" w:cs="Times New Roman"/>
          <w:iCs/>
          <w:noProof/>
          <w:vertAlign w:val="superscript"/>
        </w:rPr>
        <w:t>-</w:t>
      </w:r>
      <w:r w:rsidR="00B9491E">
        <w:rPr>
          <w:rFonts w:ascii="Times New Roman" w:eastAsiaTheme="minorEastAsia" w:hAnsi="Times New Roman" w:cs="Times New Roman"/>
          <w:iCs/>
          <w:noProof/>
        </w:rPr>
        <w:t>,</w:t>
      </w:r>
      <w:r w:rsidR="00C33A31">
        <w:rPr>
          <w:rFonts w:ascii="Times New Roman" w:eastAsiaTheme="minorEastAsia" w:hAnsi="Times New Roman" w:cs="Times New Roman"/>
          <w:iCs/>
          <w:noProof/>
        </w:rPr>
        <w:t xml:space="preserve"> and </w:t>
      </w:r>
      <w:r w:rsidR="005D329E">
        <w:rPr>
          <w:rFonts w:ascii="Times New Roman" w:hAnsi="Times New Roman" w:cs="Times New Roman"/>
          <w:i/>
          <w:iCs/>
          <w:color w:val="000000" w:themeColor="text1"/>
        </w:rPr>
        <w:fldChar w:fldCharType="begin" w:fldLock="1"/>
      </w:r>
      <w:r w:rsidR="005D329E">
        <w:rPr>
          <w:rFonts w:ascii="Times New Roman" w:hAnsi="Times New Roman" w:cs="Times New Roman"/>
          <w:color w:val="000000" w:themeColor="text1"/>
        </w:rPr>
        <w:instrText>ADDIN CSL_CITATION {"citationItems":[{"id":"ITEM-1","itemData":{"DOI":"10.1007/S00410-010-0588-X/FIGURES/12","ISSN":"00107999","abstract":"Experiments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Petrology","id":"ITEM-1","issue":"1","issued":{"date-parts":[["2011","7","13"]]},"page":"133-151","publisher":"Springer","title":"The H2O solubility of alkali basaltic melts: An experimental study","type":"article-journal","volume":"162"},"uris":["http://www.mendeley.com/documents/?uuid=0b473f09-3a8d-35f3-a370-20542d8405db"]}],"mendeley":{"formattedCitation":"(Lesne et al., 2011)","manualFormatting":"Lesne et al. (2011)","plainTextFormattedCitation":"(Lesne et al., 2011)","previouslyFormattedCitation":"(Lesne et al., 2011)"},"properties":{"noteIndex":0},"schema":"https://github.com/citation-style-language/schema/raw/master/csl-citation.json"}</w:instrText>
      </w:r>
      <w:r w:rsidR="005D329E">
        <w:rPr>
          <w:rFonts w:ascii="Times New Roman" w:hAnsi="Times New Roman" w:cs="Times New Roman"/>
          <w:i/>
          <w:iCs/>
          <w:color w:val="000000" w:themeColor="text1"/>
        </w:rPr>
        <w:fldChar w:fldCharType="separate"/>
      </w:r>
      <w:r w:rsidR="005D329E" w:rsidRPr="003910EA">
        <w:rPr>
          <w:rFonts w:ascii="Times New Roman" w:hAnsi="Times New Roman" w:cs="Times New Roman"/>
          <w:noProof/>
          <w:color w:val="000000" w:themeColor="text1"/>
        </w:rPr>
        <w:t xml:space="preserve">Lesne et al. </w:t>
      </w:r>
      <w:r w:rsidR="005D329E">
        <w:rPr>
          <w:rFonts w:ascii="Times New Roman" w:hAnsi="Times New Roman" w:cs="Times New Roman"/>
          <w:noProof/>
          <w:color w:val="000000" w:themeColor="text1"/>
        </w:rPr>
        <w:t>(</w:t>
      </w:r>
      <w:r w:rsidR="005D329E" w:rsidRPr="003910EA">
        <w:rPr>
          <w:rFonts w:ascii="Times New Roman" w:hAnsi="Times New Roman" w:cs="Times New Roman"/>
          <w:noProof/>
          <w:color w:val="000000" w:themeColor="text1"/>
        </w:rPr>
        <w:t>2011)</w:t>
      </w:r>
      <w:r w:rsidR="005D329E">
        <w:rPr>
          <w:rFonts w:ascii="Times New Roman" w:hAnsi="Times New Roman" w:cs="Times New Roman"/>
          <w:i/>
          <w:iCs/>
          <w:color w:val="000000" w:themeColor="text1"/>
        </w:rPr>
        <w:fldChar w:fldCharType="end"/>
      </w:r>
      <w:r w:rsidR="00B9491E">
        <w:rPr>
          <w:rFonts w:ascii="Times New Roman" w:hAnsi="Times New Roman" w:cs="Times New Roman"/>
          <w:color w:val="000000" w:themeColor="text1"/>
        </w:rPr>
        <w:t xml:space="preserve">, which uses a power-law fit between </w:t>
      </w:r>
      <w:r w:rsidR="00B9491E" w:rsidRPr="00B9491E">
        <w:rPr>
          <w:rFonts w:ascii="Times New Roman" w:hAnsi="Times New Roman" w:cs="Times New Roman"/>
          <w:i/>
          <w:iCs/>
          <w:color w:val="000000" w:themeColor="text1"/>
        </w:rPr>
        <w:t>f</w:t>
      </w:r>
      <w:r w:rsidR="00B9491E" w:rsidRPr="00B9491E">
        <w:rPr>
          <w:rFonts w:ascii="Times New Roman" w:hAnsi="Times New Roman" w:cs="Times New Roman"/>
          <w:color w:val="000000" w:themeColor="text1"/>
          <w:vertAlign w:val="subscript"/>
        </w:rPr>
        <w:t>H2O</w:t>
      </w:r>
      <w:r w:rsidR="00B9491E">
        <w:rPr>
          <w:rFonts w:ascii="Times New Roman" w:hAnsi="Times New Roman" w:cs="Times New Roman"/>
          <w:color w:val="000000" w:themeColor="text1"/>
        </w:rPr>
        <w:t xml:space="preserve"> and </w:t>
      </w:r>
      <w:proofErr w:type="spellStart"/>
      <w:r w:rsidR="00B9491E">
        <w:rPr>
          <w:rFonts w:ascii="Times New Roman" w:hAnsi="Times New Roman" w:cs="Times New Roman"/>
          <w:color w:val="000000" w:themeColor="text1"/>
        </w:rPr>
        <w:t>wt</w:t>
      </w:r>
      <w:proofErr w:type="spellEnd"/>
      <w:r w:rsidR="00B9491E">
        <w:rPr>
          <w:rFonts w:ascii="Times New Roman" w:hAnsi="Times New Roman" w:cs="Times New Roman"/>
          <w:color w:val="000000" w:themeColor="text1"/>
        </w:rPr>
        <w:t>% H</w:t>
      </w:r>
      <w:r w:rsidR="00B9491E" w:rsidRPr="00B9491E">
        <w:rPr>
          <w:rFonts w:ascii="Times New Roman" w:hAnsi="Times New Roman" w:cs="Times New Roman"/>
          <w:color w:val="000000" w:themeColor="text1"/>
          <w:vertAlign w:val="subscript"/>
        </w:rPr>
        <w:t>2</w:t>
      </w:r>
      <w:r w:rsidR="00B9491E">
        <w:rPr>
          <w:rFonts w:ascii="Times New Roman" w:hAnsi="Times New Roman" w:cs="Times New Roman"/>
          <w:color w:val="000000" w:themeColor="text1"/>
        </w:rPr>
        <w:t xml:space="preserve">O </w:t>
      </w:r>
      <w:r w:rsidR="005D329E">
        <w:rPr>
          <w:rFonts w:ascii="Times New Roman" w:hAnsi="Times New Roman" w:cs="Times New Roman"/>
          <w:color w:val="000000" w:themeColor="text1"/>
        </w:rPr>
        <w:t>(</w:t>
      </w:r>
      <w:r w:rsidR="005D329E" w:rsidRPr="00F92A05">
        <w:rPr>
          <w:rFonts w:ascii="Times New Roman" w:hAnsi="Times New Roman" w:cs="Times New Roman"/>
        </w:rPr>
        <w:fldChar w:fldCharType="begin"/>
      </w:r>
      <w:r w:rsidR="005D329E" w:rsidRPr="00F92A05">
        <w:rPr>
          <w:rFonts w:ascii="Times New Roman" w:hAnsi="Times New Roman" w:cs="Times New Roman"/>
        </w:rPr>
        <w:instrText xml:space="preserve"> REF _Ref127350444 \h </w:instrText>
      </w:r>
      <w:r w:rsidR="005D329E">
        <w:rPr>
          <w:rFonts w:ascii="Times New Roman" w:hAnsi="Times New Roman" w:cs="Times New Roman"/>
        </w:rPr>
        <w:instrText xml:space="preserve"> \* MERGEFORMAT </w:instrText>
      </w:r>
      <w:r w:rsidR="005D329E" w:rsidRPr="00F92A05">
        <w:rPr>
          <w:rFonts w:ascii="Times New Roman" w:hAnsi="Times New Roman" w:cs="Times New Roman"/>
        </w:rPr>
      </w:r>
      <w:r w:rsidR="005D329E" w:rsidRPr="00F92A05">
        <w:rPr>
          <w:rFonts w:ascii="Times New Roman" w:hAnsi="Times New Roman" w:cs="Times New Roman"/>
        </w:rPr>
        <w:fldChar w:fldCharType="separate"/>
      </w:r>
      <w:r w:rsidR="005D329E" w:rsidRPr="004168B8">
        <w:rPr>
          <w:rFonts w:ascii="Times New Roman" w:eastAsiaTheme="minorEastAsia" w:hAnsi="Times New Roman" w:cs="Times New Roman"/>
          <w:color w:val="000000" w:themeColor="text1"/>
        </w:rPr>
        <w:t xml:space="preserve">Figure </w:t>
      </w:r>
      <w:r w:rsidR="005D329E" w:rsidRPr="004168B8">
        <w:rPr>
          <w:rFonts w:ascii="Times New Roman" w:hAnsi="Times New Roman" w:cs="Times New Roman"/>
          <w:color w:val="000000" w:themeColor="text1"/>
        </w:rPr>
        <w:t>S</w:t>
      </w:r>
      <w:r w:rsidR="005D329E" w:rsidRPr="004168B8">
        <w:rPr>
          <w:rFonts w:ascii="Times New Roman" w:hAnsi="Times New Roman" w:cs="Times New Roman"/>
          <w:noProof/>
          <w:color w:val="000000" w:themeColor="text1"/>
        </w:rPr>
        <w:t>2</w:t>
      </w:r>
      <w:r w:rsidR="005D329E" w:rsidRPr="00F92A05">
        <w:rPr>
          <w:rFonts w:ascii="Times New Roman" w:hAnsi="Times New Roman" w:cs="Times New Roman"/>
        </w:rPr>
        <w:fldChar w:fldCharType="end"/>
      </w:r>
      <w:r w:rsidR="005D329E">
        <w:rPr>
          <w:rFonts w:ascii="Times New Roman" w:hAnsi="Times New Roman" w:cs="Times New Roman"/>
          <w:color w:val="000000" w:themeColor="text1"/>
        </w:rPr>
        <w:t>)</w:t>
      </w:r>
      <w:r w:rsidR="005D329E">
        <w:rPr>
          <w:rFonts w:ascii="Times New Roman" w:hAnsi="Times New Roman" w:cs="Times New Roman"/>
        </w:rPr>
        <w:t>.</w:t>
      </w:r>
    </w:p>
    <w:p w14:paraId="36267D3E" w14:textId="3F8CF7A3" w:rsidR="00E64572" w:rsidRDefault="00C33A31" w:rsidP="00F81B70">
      <w:pPr>
        <w:keepNext/>
        <w:jc w:val="center"/>
      </w:pPr>
      <w:r>
        <w:rPr>
          <w:noProof/>
        </w:rPr>
        <w:lastRenderedPageBreak/>
        <w:drawing>
          <wp:inline distT="0" distB="0" distL="0" distR="0" wp14:anchorId="1AD98EA1" wp14:editId="274164DF">
            <wp:extent cx="4572000" cy="2743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000" cy="2743200"/>
                    </a:xfrm>
                    <a:prstGeom prst="rect">
                      <a:avLst/>
                    </a:prstGeom>
                  </pic:spPr>
                </pic:pic>
              </a:graphicData>
            </a:graphic>
          </wp:inline>
        </w:drawing>
      </w:r>
    </w:p>
    <w:p w14:paraId="222FC63F" w14:textId="19BEEA3B" w:rsidR="004723E1" w:rsidRPr="00F81B70" w:rsidRDefault="00E64572" w:rsidP="00F81B70">
      <w:pPr>
        <w:pStyle w:val="Caption"/>
        <w:ind w:firstLine="0"/>
        <w:rPr>
          <w:rFonts w:ascii="Times New Roman" w:hAnsi="Times New Roman" w:cs="Times New Roman"/>
          <w:color w:val="000000" w:themeColor="text1"/>
          <w:sz w:val="24"/>
          <w:szCs w:val="24"/>
        </w:rPr>
      </w:pPr>
      <w:bookmarkStart w:id="7" w:name="_Ref127350444"/>
      <w:r w:rsidRPr="00F81B70">
        <w:rPr>
          <w:color w:val="000000" w:themeColor="text1"/>
          <w:sz w:val="24"/>
          <w:szCs w:val="24"/>
        </w:rPr>
        <w:t xml:space="preserve">Figure </w:t>
      </w:r>
      <w:r w:rsidR="00736793" w:rsidRPr="00F81B70">
        <w:rPr>
          <w:color w:val="000000" w:themeColor="text1"/>
          <w:sz w:val="24"/>
          <w:szCs w:val="24"/>
        </w:rPr>
        <w:t>S</w:t>
      </w:r>
      <w:r w:rsidRPr="00F81B70">
        <w:rPr>
          <w:color w:val="000000" w:themeColor="text1"/>
          <w:sz w:val="24"/>
          <w:szCs w:val="24"/>
        </w:rPr>
        <w:fldChar w:fldCharType="begin"/>
      </w:r>
      <w:r w:rsidRPr="00F81B70">
        <w:rPr>
          <w:color w:val="000000" w:themeColor="text1"/>
          <w:sz w:val="24"/>
          <w:szCs w:val="24"/>
        </w:rPr>
        <w:instrText xml:space="preserve"> SEQ Figure \* ARABIC </w:instrText>
      </w:r>
      <w:r w:rsidRPr="00F81B70">
        <w:rPr>
          <w:color w:val="000000" w:themeColor="text1"/>
          <w:sz w:val="24"/>
          <w:szCs w:val="24"/>
        </w:rPr>
        <w:fldChar w:fldCharType="separate"/>
      </w:r>
      <w:r w:rsidR="009E5695">
        <w:rPr>
          <w:noProof/>
          <w:color w:val="000000" w:themeColor="text1"/>
          <w:sz w:val="24"/>
          <w:szCs w:val="24"/>
        </w:rPr>
        <w:t>2</w:t>
      </w:r>
      <w:r w:rsidRPr="00F81B70">
        <w:rPr>
          <w:color w:val="000000" w:themeColor="text1"/>
          <w:sz w:val="24"/>
          <w:szCs w:val="24"/>
        </w:rPr>
        <w:fldChar w:fldCharType="end"/>
      </w:r>
      <w:bookmarkEnd w:id="7"/>
      <w:r w:rsidRPr="00F81B70">
        <w:rPr>
          <w:i w:val="0"/>
          <w:iCs w:val="0"/>
          <w:color w:val="000000" w:themeColor="text1"/>
          <w:sz w:val="24"/>
          <w:szCs w:val="24"/>
        </w:rPr>
        <w:t xml:space="preserve"> </w:t>
      </w:r>
      <w:r w:rsidR="007721A4">
        <w:rPr>
          <w:i w:val="0"/>
          <w:iCs w:val="0"/>
          <w:color w:val="000000" w:themeColor="text1"/>
          <w:sz w:val="24"/>
          <w:szCs w:val="24"/>
        </w:rPr>
        <w:t>Fitting</w:t>
      </w:r>
      <w:r w:rsidRPr="00F81B70">
        <w:rPr>
          <w:i w:val="0"/>
          <w:iCs w:val="0"/>
          <w:color w:val="000000" w:themeColor="text1"/>
          <w:sz w:val="24"/>
          <w:szCs w:val="24"/>
        </w:rPr>
        <w:t xml:space="preserve"> the water </w:t>
      </w:r>
      <w:r w:rsidR="00E0491E">
        <w:rPr>
          <w:i w:val="0"/>
          <w:iCs w:val="0"/>
          <w:color w:val="000000" w:themeColor="text1"/>
          <w:sz w:val="24"/>
          <w:szCs w:val="24"/>
        </w:rPr>
        <w:t>solubility</w:t>
      </w:r>
      <w:r w:rsidR="007721A4">
        <w:rPr>
          <w:i w:val="0"/>
          <w:iCs w:val="0"/>
          <w:color w:val="000000" w:themeColor="text1"/>
          <w:sz w:val="24"/>
          <w:szCs w:val="24"/>
        </w:rPr>
        <w:t xml:space="preserve"> function</w:t>
      </w:r>
      <w:r w:rsidRPr="00F81B70">
        <w:rPr>
          <w:i w:val="0"/>
          <w:iCs w:val="0"/>
          <w:color w:val="000000" w:themeColor="text1"/>
          <w:sz w:val="24"/>
          <w:szCs w:val="24"/>
        </w:rPr>
        <w:t xml:space="preserve"> for basaltic melt </w:t>
      </w:r>
      <w:r w:rsidRPr="00F81B70">
        <w:rPr>
          <w:rFonts w:ascii="Times New Roman" w:hAnsi="Times New Roman" w:cs="Times New Roman"/>
          <w:i w:val="0"/>
          <w:iCs w:val="0"/>
          <w:color w:val="000000" w:themeColor="text1"/>
          <w:sz w:val="24"/>
          <w:szCs w:val="24"/>
        </w:rPr>
        <w:t>compositions [</w:t>
      </w:r>
      <w:r w:rsidR="00D84AC5">
        <w:rPr>
          <w:rFonts w:ascii="Times New Roman" w:hAnsi="Times New Roman" w:cs="Times New Roman"/>
          <w:color w:val="000000" w:themeColor="text1"/>
          <w:sz w:val="24"/>
          <w:szCs w:val="24"/>
        </w:rPr>
        <w:t>f</w:t>
      </w:r>
      <w:r w:rsidR="00D84AC5" w:rsidRPr="00D84AC5">
        <w:rPr>
          <w:rFonts w:ascii="Times New Roman" w:hAnsi="Times New Roman" w:cs="Times New Roman"/>
          <w:i w:val="0"/>
          <w:iCs w:val="0"/>
          <w:color w:val="000000" w:themeColor="text1"/>
          <w:sz w:val="24"/>
          <w:szCs w:val="24"/>
          <w:vertAlign w:val="subscript"/>
        </w:rPr>
        <w:t>H2O</w:t>
      </w:r>
      <w:r w:rsidRPr="00F81B70">
        <w:rPr>
          <w:rFonts w:ascii="Times New Roman" w:hAnsi="Times New Roman" w:cs="Times New Roman"/>
          <w:iCs w:val="0"/>
          <w:color w:val="000000" w:themeColor="text1"/>
          <w:sz w:val="24"/>
          <w:szCs w:val="24"/>
        </w:rPr>
        <w:t xml:space="preserve"> </w:t>
      </w:r>
      <w:r w:rsidRPr="00F81B70">
        <w:rPr>
          <w:rFonts w:ascii="Times New Roman" w:hAnsi="Times New Roman" w:cs="Times New Roman"/>
          <w:i w:val="0"/>
          <w:color w:val="000000" w:themeColor="text1"/>
          <w:sz w:val="24"/>
          <w:szCs w:val="24"/>
        </w:rPr>
        <w:t>against</w:t>
      </w:r>
      <w:r w:rsidR="00D84AC5">
        <w:rPr>
          <w:rFonts w:ascii="Times New Roman" w:hAnsi="Times New Roman" w:cs="Times New Roman"/>
          <w:i w:val="0"/>
          <w:color w:val="000000" w:themeColor="text1"/>
          <w:sz w:val="24"/>
          <w:szCs w:val="24"/>
        </w:rPr>
        <w:t xml:space="preserve"> (</w:t>
      </w:r>
      <w:r w:rsidR="00D84AC5">
        <w:rPr>
          <w:rFonts w:ascii="Times New Roman" w:hAnsi="Times New Roman" w:cs="Times New Roman"/>
          <w:iCs w:val="0"/>
          <w:color w:val="000000" w:themeColor="text1"/>
          <w:sz w:val="24"/>
          <w:szCs w:val="24"/>
        </w:rPr>
        <w:t>x</w:t>
      </w:r>
      <w:r w:rsidR="00D84AC5" w:rsidRPr="00D84AC5">
        <w:rPr>
          <w:rFonts w:ascii="Times New Roman" w:hAnsi="Times New Roman" w:cs="Times New Roman"/>
          <w:iCs w:val="0"/>
          <w:color w:val="000000" w:themeColor="text1"/>
          <w:sz w:val="24"/>
          <w:szCs w:val="24"/>
          <w:vertAlign w:val="superscript"/>
        </w:rPr>
        <w:t>m</w:t>
      </w:r>
      <w:r w:rsidR="00D84AC5" w:rsidRPr="00D84AC5">
        <w:rPr>
          <w:rFonts w:ascii="Times New Roman" w:hAnsi="Times New Roman" w:cs="Times New Roman"/>
          <w:i w:val="0"/>
          <w:color w:val="000000" w:themeColor="text1"/>
          <w:sz w:val="24"/>
          <w:szCs w:val="24"/>
          <w:vertAlign w:val="subscript"/>
        </w:rPr>
        <w:t>H2OT</w:t>
      </w:r>
      <w:r w:rsidR="00D84AC5">
        <w:rPr>
          <w:rFonts w:ascii="Times New Roman" w:hAnsi="Times New Roman" w:cs="Times New Roman"/>
          <w:i w:val="0"/>
          <w:color w:val="000000" w:themeColor="text1"/>
          <w:sz w:val="24"/>
          <w:szCs w:val="24"/>
        </w:rPr>
        <w:t>)</w:t>
      </w:r>
      <w:r w:rsidR="00D84AC5" w:rsidRPr="00D84AC5">
        <w:rPr>
          <w:rFonts w:ascii="Times New Roman" w:hAnsi="Times New Roman" w:cs="Times New Roman"/>
          <w:i w:val="0"/>
          <w:color w:val="000000" w:themeColor="text1"/>
          <w:sz w:val="24"/>
          <w:szCs w:val="24"/>
          <w:vertAlign w:val="superscript"/>
        </w:rPr>
        <w:t>2</w:t>
      </w:r>
      <w:r w:rsidR="005D329E" w:rsidRPr="00147AF9">
        <w:rPr>
          <w:rFonts w:ascii="Times New Roman" w:hAnsi="Times New Roman" w:cs="Times New Roman"/>
          <w:i w:val="0"/>
          <w:color w:val="000000" w:themeColor="text1"/>
          <w:sz w:val="24"/>
          <w:szCs w:val="24"/>
        </w:rPr>
        <w:t xml:space="preserve">, </w:t>
      </w:r>
      <w:r w:rsidR="005D329E" w:rsidRPr="005D329E">
        <w:rPr>
          <w:rFonts w:ascii="Times New Roman" w:hAnsi="Times New Roman" w:cs="Times New Roman"/>
          <w:i w:val="0"/>
          <w:color w:val="000000" w:themeColor="text1"/>
          <w:sz w:val="24"/>
          <w:szCs w:val="24"/>
        </w:rPr>
        <w:t xml:space="preserve">where </w:t>
      </w:r>
      <w:r w:rsidR="005D329E">
        <w:rPr>
          <w:rFonts w:ascii="Times New Roman" w:hAnsi="Times New Roman" w:cs="Times New Roman"/>
          <w:iCs w:val="0"/>
          <w:color w:val="000000" w:themeColor="text1"/>
          <w:sz w:val="24"/>
          <w:szCs w:val="24"/>
        </w:rPr>
        <w:t>x</w:t>
      </w:r>
      <w:r w:rsidR="005D329E" w:rsidRPr="00D84AC5">
        <w:rPr>
          <w:rFonts w:ascii="Times New Roman" w:hAnsi="Times New Roman" w:cs="Times New Roman"/>
          <w:iCs w:val="0"/>
          <w:color w:val="000000" w:themeColor="text1"/>
          <w:sz w:val="24"/>
          <w:szCs w:val="24"/>
          <w:vertAlign w:val="superscript"/>
        </w:rPr>
        <w:t>m</w:t>
      </w:r>
      <w:r w:rsidR="005D329E" w:rsidRPr="00D84AC5">
        <w:rPr>
          <w:rFonts w:ascii="Times New Roman" w:hAnsi="Times New Roman" w:cs="Times New Roman"/>
          <w:i w:val="0"/>
          <w:color w:val="000000" w:themeColor="text1"/>
          <w:sz w:val="24"/>
          <w:szCs w:val="24"/>
          <w:vertAlign w:val="subscript"/>
        </w:rPr>
        <w:t>H2OT</w:t>
      </w:r>
      <w:r w:rsidR="005D329E" w:rsidRPr="005D329E">
        <w:rPr>
          <w:rFonts w:ascii="Times New Roman" w:hAnsi="Times New Roman" w:cs="Times New Roman"/>
          <w:i w:val="0"/>
          <w:color w:val="000000" w:themeColor="text1"/>
          <w:sz w:val="24"/>
          <w:szCs w:val="24"/>
        </w:rPr>
        <w:t xml:space="preserve"> is in mole fraction</w:t>
      </w:r>
      <w:r w:rsidRPr="00F81B70">
        <w:rPr>
          <w:rFonts w:ascii="Times New Roman" w:hAnsi="Times New Roman" w:cs="Times New Roman"/>
          <w:i w:val="0"/>
          <w:iCs w:val="0"/>
          <w:color w:val="000000" w:themeColor="text1"/>
          <w:sz w:val="24"/>
          <w:szCs w:val="24"/>
        </w:rPr>
        <w:t>]. Grey circles</w:t>
      </w:r>
      <w:r w:rsidR="007721A4">
        <w:rPr>
          <w:rFonts w:ascii="Times New Roman" w:hAnsi="Times New Roman" w:cs="Times New Roman"/>
          <w:i w:val="0"/>
          <w:iCs w:val="0"/>
          <w:color w:val="000000" w:themeColor="text1"/>
          <w:sz w:val="24"/>
          <w:szCs w:val="24"/>
        </w:rPr>
        <w:t xml:space="preserve"> (</w:t>
      </w:r>
      <w:r w:rsidR="007721A4">
        <w:rPr>
          <w:rFonts w:ascii="Times New Roman" w:hAnsi="Times New Roman" w:cs="Times New Roman"/>
          <w:color w:val="000000" w:themeColor="text1"/>
          <w:sz w:val="24"/>
          <w:szCs w:val="24"/>
        </w:rPr>
        <w:t>n</w:t>
      </w:r>
      <w:r w:rsidR="007721A4">
        <w:rPr>
          <w:rFonts w:ascii="Times New Roman" w:hAnsi="Times New Roman" w:cs="Times New Roman"/>
          <w:i w:val="0"/>
          <w:iCs w:val="0"/>
          <w:color w:val="000000" w:themeColor="text1"/>
          <w:sz w:val="24"/>
          <w:szCs w:val="24"/>
        </w:rPr>
        <w:t xml:space="preserve"> = 177)</w:t>
      </w:r>
      <w:r w:rsidRPr="00F81B70">
        <w:rPr>
          <w:rFonts w:ascii="Times New Roman" w:hAnsi="Times New Roman" w:cs="Times New Roman"/>
          <w:i w:val="0"/>
          <w:iCs w:val="0"/>
          <w:color w:val="000000" w:themeColor="text1"/>
          <w:sz w:val="24"/>
          <w:szCs w:val="24"/>
        </w:rPr>
        <w:t xml:space="preserve"> are the experimental data</w:t>
      </w:r>
      <w:r w:rsidR="00E0491E">
        <w:rPr>
          <w:rFonts w:ascii="Times New Roman" w:hAnsi="Times New Roman" w:cs="Times New Roman"/>
          <w:i w:val="0"/>
          <w:iCs w:val="0"/>
          <w:color w:val="000000" w:themeColor="text1"/>
          <w:sz w:val="24"/>
          <w:szCs w:val="24"/>
        </w:rPr>
        <w:t xml:space="preserve"> on basalts</w:t>
      </w:r>
      <w:r w:rsidRPr="00F81B70">
        <w:rPr>
          <w:rFonts w:ascii="Times New Roman" w:hAnsi="Times New Roman" w:cs="Times New Roman"/>
          <w:i w:val="0"/>
          <w:iCs w:val="0"/>
          <w:color w:val="000000" w:themeColor="text1"/>
          <w:sz w:val="24"/>
          <w:szCs w:val="24"/>
        </w:rPr>
        <w:t xml:space="preserve"> compiled by </w:t>
      </w:r>
      <w:r w:rsidR="000A3874" w:rsidRPr="00147AF9">
        <w:rPr>
          <w:rFonts w:ascii="Times New Roman" w:hAnsi="Times New Roman" w:cs="Times New Roman"/>
          <w:iCs w:val="0"/>
          <w:color w:val="000000" w:themeColor="text1"/>
        </w:rPr>
        <w:fldChar w:fldCharType="begin" w:fldLock="1"/>
      </w:r>
      <w:r w:rsidR="000A3874" w:rsidRPr="00147AF9">
        <w:rPr>
          <w:rFonts w:ascii="Times New Roman" w:hAnsi="Times New Roman" w:cs="Times New Roman"/>
          <w:iCs w:val="0"/>
          <w:color w:val="000000" w:themeColor="text1"/>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2022)","manualFormatting":"Allison et al. (2022)","plainTextFormattedCitation":"(Allison et al., 2022)","previouslyFormattedCitation":"(Allison et al., 2022)"},"properties":{"noteIndex":0},"schema":"https://github.com/citation-style-language/schema/raw/master/csl-citation.json"}</w:instrText>
      </w:r>
      <w:r w:rsidR="000A3874" w:rsidRPr="00147AF9">
        <w:rPr>
          <w:rFonts w:ascii="Times New Roman" w:hAnsi="Times New Roman" w:cs="Times New Roman"/>
          <w:iCs w:val="0"/>
          <w:color w:val="000000" w:themeColor="text1"/>
        </w:rPr>
        <w:fldChar w:fldCharType="separate"/>
      </w:r>
      <w:r w:rsidR="000A3874" w:rsidRPr="00147AF9">
        <w:rPr>
          <w:rFonts w:ascii="Times New Roman" w:hAnsi="Times New Roman" w:cs="Times New Roman"/>
          <w:i w:val="0"/>
          <w:noProof/>
          <w:color w:val="000000" w:themeColor="text1"/>
          <w:sz w:val="24"/>
          <w:szCs w:val="24"/>
        </w:rPr>
        <w:t>Allison et al. (2022)</w:t>
      </w:r>
      <w:r w:rsidR="000A3874" w:rsidRPr="00147AF9">
        <w:rPr>
          <w:rFonts w:ascii="Times New Roman" w:hAnsi="Times New Roman" w:cs="Times New Roman"/>
          <w:iCs w:val="0"/>
          <w:color w:val="000000" w:themeColor="text1"/>
        </w:rPr>
        <w:fldChar w:fldCharType="end"/>
      </w:r>
      <w:r w:rsidRPr="00147AF9">
        <w:rPr>
          <w:rFonts w:ascii="Times New Roman" w:hAnsi="Times New Roman" w:cs="Times New Roman"/>
          <w:i w:val="0"/>
          <w:iCs w:val="0"/>
          <w:color w:val="000000" w:themeColor="text1"/>
          <w:sz w:val="24"/>
          <w:szCs w:val="24"/>
        </w:rPr>
        <w:t xml:space="preserve"> </w:t>
      </w:r>
      <w:r w:rsidRPr="00F81B70">
        <w:rPr>
          <w:rFonts w:ascii="Times New Roman" w:hAnsi="Times New Roman" w:cs="Times New Roman"/>
          <w:i w:val="0"/>
          <w:iCs w:val="0"/>
          <w:color w:val="000000" w:themeColor="text1"/>
          <w:sz w:val="24"/>
          <w:szCs w:val="24"/>
        </w:rPr>
        <w:t>with H</w:t>
      </w:r>
      <w:r w:rsidRPr="00F81B70">
        <w:rPr>
          <w:rFonts w:ascii="Times New Roman" w:hAnsi="Times New Roman" w:cs="Times New Roman"/>
          <w:i w:val="0"/>
          <w:iCs w:val="0"/>
          <w:color w:val="000000" w:themeColor="text1"/>
          <w:sz w:val="24"/>
          <w:szCs w:val="24"/>
          <w:vertAlign w:val="subscript"/>
        </w:rPr>
        <w:t>2</w:t>
      </w:r>
      <w:r w:rsidRPr="00F81B70">
        <w:rPr>
          <w:rFonts w:ascii="Times New Roman" w:hAnsi="Times New Roman" w:cs="Times New Roman"/>
          <w:i w:val="0"/>
          <w:iCs w:val="0"/>
          <w:color w:val="000000" w:themeColor="text1"/>
          <w:sz w:val="24"/>
          <w:szCs w:val="24"/>
        </w:rPr>
        <w:t>O</w:t>
      </w:r>
      <w:r w:rsidRPr="00F81B70">
        <w:rPr>
          <w:rFonts w:ascii="Times New Roman" w:hAnsi="Times New Roman" w:cs="Times New Roman"/>
          <w:i w:val="0"/>
          <w:iCs w:val="0"/>
          <w:color w:val="000000" w:themeColor="text1"/>
          <w:sz w:val="24"/>
          <w:szCs w:val="24"/>
          <w:vertAlign w:val="subscript"/>
        </w:rPr>
        <w:t>T</w:t>
      </w:r>
      <w:r w:rsidRPr="00F81B70">
        <w:rPr>
          <w:rFonts w:ascii="Times New Roman" w:hAnsi="Times New Roman" w:cs="Times New Roman"/>
          <w:i w:val="0"/>
          <w:iCs w:val="0"/>
          <w:color w:val="000000" w:themeColor="text1"/>
          <w:sz w:val="24"/>
          <w:szCs w:val="24"/>
        </w:rPr>
        <w:t xml:space="preserve"> &lt; 6 </w:t>
      </w:r>
      <w:proofErr w:type="spellStart"/>
      <w:r w:rsidRPr="00F81B70">
        <w:rPr>
          <w:rFonts w:ascii="Times New Roman" w:hAnsi="Times New Roman" w:cs="Times New Roman"/>
          <w:i w:val="0"/>
          <w:iCs w:val="0"/>
          <w:color w:val="000000" w:themeColor="text1"/>
          <w:sz w:val="24"/>
          <w:szCs w:val="24"/>
        </w:rPr>
        <w:t>wt</w:t>
      </w:r>
      <w:proofErr w:type="spellEnd"/>
      <w:r w:rsidRPr="00F81B70">
        <w:rPr>
          <w:rFonts w:ascii="Times New Roman" w:hAnsi="Times New Roman" w:cs="Times New Roman"/>
          <w:i w:val="0"/>
          <w:iCs w:val="0"/>
          <w:color w:val="000000" w:themeColor="text1"/>
          <w:sz w:val="24"/>
          <w:szCs w:val="24"/>
        </w:rPr>
        <w:t xml:space="preserve">%. The red solid </w:t>
      </w:r>
      <w:r w:rsidR="00C33A31">
        <w:rPr>
          <w:rFonts w:ascii="Times New Roman" w:hAnsi="Times New Roman" w:cs="Times New Roman"/>
          <w:i w:val="0"/>
          <w:iCs w:val="0"/>
          <w:color w:val="000000" w:themeColor="text1"/>
          <w:sz w:val="24"/>
          <w:szCs w:val="24"/>
        </w:rPr>
        <w:t>curve</w:t>
      </w:r>
      <w:r w:rsidRPr="00F81B70">
        <w:rPr>
          <w:rFonts w:ascii="Times New Roman" w:hAnsi="Times New Roman" w:cs="Times New Roman"/>
          <w:i w:val="0"/>
          <w:iCs w:val="0"/>
          <w:color w:val="000000" w:themeColor="text1"/>
          <w:sz w:val="24"/>
          <w:szCs w:val="24"/>
        </w:rPr>
        <w:t xml:space="preserve"> is the model of </w:t>
      </w:r>
      <w:r w:rsidR="000A3874">
        <w:rPr>
          <w:rFonts w:ascii="Times New Roman" w:hAnsi="Times New Roman" w:cs="Times New Roman"/>
          <w:i w:val="0"/>
          <w:iCs w:val="0"/>
          <w:color w:val="000000" w:themeColor="text1"/>
          <w:sz w:val="24"/>
          <w:szCs w:val="24"/>
        </w:rPr>
        <w:fldChar w:fldCharType="begin" w:fldLock="1"/>
      </w:r>
      <w:r w:rsidR="003910EA">
        <w:rPr>
          <w:rFonts w:ascii="Times New Roman" w:hAnsi="Times New Roman" w:cs="Times New Roman"/>
          <w:i w:val="0"/>
          <w:iCs w:val="0"/>
          <w:color w:val="000000" w:themeColor="text1"/>
          <w:sz w:val="24"/>
          <w:szCs w:val="24"/>
        </w:rPr>
        <w:instrText>ADDIN CSL_CITATION {"citationItems":[{"id":"ITEM-1","itemData":{"DOI":"10.1007/S00410-010-0588-X/FIGURES/12","ISSN":"00107999","abstract":"Experiments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Petrology","id":"ITEM-1","issue":"1","issued":{"date-parts":[["2011","7","13"]]},"page":"133-151","publisher":"Springer","title":"The H2O solubility of alkali basaltic melts: An experimental study","type":"article-journal","volume":"162"},"uris":["http://www.mendeley.com/documents/?uuid=0b473f09-3a8d-35f3-a370-20542d8405db"]}],"mendeley":{"formattedCitation":"(Lesne et al., 2011)","manualFormatting":"Lesne et al. (2011)","plainTextFormattedCitation":"(Lesne et al., 2011)","previouslyFormattedCitation":"(Lesne et al., 2011)"},"properties":{"noteIndex":0},"schema":"https://github.com/citation-style-language/schema/raw/master/csl-citation.json"}</w:instrText>
      </w:r>
      <w:r w:rsidR="000A3874">
        <w:rPr>
          <w:rFonts w:ascii="Times New Roman" w:hAnsi="Times New Roman" w:cs="Times New Roman"/>
          <w:i w:val="0"/>
          <w:iCs w:val="0"/>
          <w:color w:val="000000" w:themeColor="text1"/>
          <w:sz w:val="24"/>
          <w:szCs w:val="24"/>
        </w:rPr>
        <w:fldChar w:fldCharType="separate"/>
      </w:r>
      <w:r w:rsidR="003910EA" w:rsidRPr="003910EA">
        <w:rPr>
          <w:rFonts w:ascii="Times New Roman" w:hAnsi="Times New Roman" w:cs="Times New Roman"/>
          <w:i w:val="0"/>
          <w:iCs w:val="0"/>
          <w:noProof/>
          <w:color w:val="000000" w:themeColor="text1"/>
          <w:sz w:val="24"/>
          <w:szCs w:val="24"/>
        </w:rPr>
        <w:t xml:space="preserve">Lesne et al. </w:t>
      </w:r>
      <w:r w:rsidR="003910EA">
        <w:rPr>
          <w:rFonts w:ascii="Times New Roman" w:hAnsi="Times New Roman" w:cs="Times New Roman"/>
          <w:i w:val="0"/>
          <w:iCs w:val="0"/>
          <w:noProof/>
          <w:color w:val="000000" w:themeColor="text1"/>
          <w:sz w:val="24"/>
          <w:szCs w:val="24"/>
        </w:rPr>
        <w:t>(</w:t>
      </w:r>
      <w:r w:rsidR="003910EA" w:rsidRPr="003910EA">
        <w:rPr>
          <w:rFonts w:ascii="Times New Roman" w:hAnsi="Times New Roman" w:cs="Times New Roman"/>
          <w:i w:val="0"/>
          <w:iCs w:val="0"/>
          <w:noProof/>
          <w:color w:val="000000" w:themeColor="text1"/>
          <w:sz w:val="24"/>
          <w:szCs w:val="24"/>
        </w:rPr>
        <w:t>2011)</w:t>
      </w:r>
      <w:r w:rsidR="000A3874">
        <w:rPr>
          <w:rFonts w:ascii="Times New Roman" w:hAnsi="Times New Roman" w:cs="Times New Roman"/>
          <w:i w:val="0"/>
          <w:iCs w:val="0"/>
          <w:color w:val="000000" w:themeColor="text1"/>
          <w:sz w:val="24"/>
          <w:szCs w:val="24"/>
        </w:rPr>
        <w:fldChar w:fldCharType="end"/>
      </w:r>
      <w:r w:rsidR="00C33A31">
        <w:rPr>
          <w:rFonts w:ascii="Times New Roman" w:hAnsi="Times New Roman" w:cs="Times New Roman"/>
          <w:i w:val="0"/>
          <w:iCs w:val="0"/>
          <w:color w:val="000000" w:themeColor="text1"/>
          <w:sz w:val="24"/>
          <w:szCs w:val="24"/>
        </w:rPr>
        <w:t xml:space="preserve">, the blue solid curve is the model of </w:t>
      </w:r>
      <w:r w:rsidR="00C33A31" w:rsidRPr="00C33A31">
        <w:rPr>
          <w:rFonts w:ascii="Times New Roman" w:hAnsi="Times New Roman" w:cs="Times New Roman"/>
          <w:i w:val="0"/>
          <w:iCs w:val="0"/>
          <w:color w:val="000000" w:themeColor="text1"/>
          <w:sz w:val="24"/>
          <w:szCs w:val="24"/>
        </w:rPr>
        <w:t>Dixon et al. (1995)</w:t>
      </w:r>
      <w:r w:rsidR="00C33A31">
        <w:rPr>
          <w:rFonts w:ascii="Times New Roman" w:hAnsi="Times New Roman" w:cs="Times New Roman"/>
          <w:i w:val="0"/>
          <w:iCs w:val="0"/>
          <w:color w:val="000000" w:themeColor="text1"/>
          <w:sz w:val="24"/>
          <w:szCs w:val="24"/>
        </w:rPr>
        <w:t xml:space="preserve"> [their table 5],</w:t>
      </w:r>
      <w:r w:rsidRPr="00F81B70">
        <w:rPr>
          <w:rFonts w:ascii="Times New Roman" w:hAnsi="Times New Roman" w:cs="Times New Roman"/>
          <w:i w:val="0"/>
          <w:iCs w:val="0"/>
          <w:color w:val="000000" w:themeColor="text1"/>
          <w:sz w:val="24"/>
          <w:szCs w:val="24"/>
        </w:rPr>
        <w:t xml:space="preserve"> and the black solid </w:t>
      </w:r>
      <w:r w:rsidR="00C33A31">
        <w:rPr>
          <w:rFonts w:ascii="Times New Roman" w:hAnsi="Times New Roman" w:cs="Times New Roman"/>
          <w:i w:val="0"/>
          <w:iCs w:val="0"/>
          <w:color w:val="000000" w:themeColor="text1"/>
          <w:sz w:val="24"/>
          <w:szCs w:val="24"/>
        </w:rPr>
        <w:t>line</w:t>
      </w:r>
      <w:r w:rsidRPr="00F81B70">
        <w:rPr>
          <w:rFonts w:ascii="Times New Roman" w:hAnsi="Times New Roman" w:cs="Times New Roman"/>
          <w:i w:val="0"/>
          <w:iCs w:val="0"/>
          <w:color w:val="000000" w:themeColor="text1"/>
          <w:sz w:val="24"/>
          <w:szCs w:val="24"/>
        </w:rPr>
        <w:t xml:space="preserve"> is </w:t>
      </w:r>
      <w:r w:rsidR="00C33A31">
        <w:rPr>
          <w:rFonts w:ascii="Times New Roman" w:hAnsi="Times New Roman" w:cs="Times New Roman"/>
          <w:i w:val="0"/>
          <w:iCs w:val="0"/>
          <w:color w:val="000000" w:themeColor="text1"/>
          <w:sz w:val="24"/>
          <w:szCs w:val="24"/>
        </w:rPr>
        <w:t xml:space="preserve">our </w:t>
      </w:r>
      <w:r w:rsidRPr="00F81B70">
        <w:rPr>
          <w:rFonts w:ascii="Times New Roman" w:hAnsi="Times New Roman" w:cs="Times New Roman"/>
          <w:i w:val="0"/>
          <w:iCs w:val="0"/>
          <w:color w:val="000000" w:themeColor="text1"/>
          <w:sz w:val="24"/>
          <w:szCs w:val="24"/>
        </w:rPr>
        <w:t>fit to the data.</w:t>
      </w:r>
      <w:r w:rsidR="007E263D">
        <w:rPr>
          <w:rFonts w:ascii="Times New Roman" w:hAnsi="Times New Roman" w:cs="Times New Roman"/>
          <w:i w:val="0"/>
          <w:iCs w:val="0"/>
          <w:color w:val="000000" w:themeColor="text1"/>
          <w:sz w:val="24"/>
          <w:szCs w:val="24"/>
        </w:rPr>
        <w:t xml:space="preserve"> For reference, </w:t>
      </w:r>
      <w:r w:rsidR="00D84AC5">
        <w:rPr>
          <w:rFonts w:ascii="Times New Roman" w:hAnsi="Times New Roman" w:cs="Times New Roman"/>
          <w:i w:val="0"/>
          <w:color w:val="000000" w:themeColor="text1"/>
          <w:sz w:val="24"/>
          <w:szCs w:val="24"/>
        </w:rPr>
        <w:t>(</w:t>
      </w:r>
      <w:r w:rsidR="00D84AC5">
        <w:rPr>
          <w:rFonts w:ascii="Times New Roman" w:hAnsi="Times New Roman" w:cs="Times New Roman"/>
          <w:iCs w:val="0"/>
          <w:color w:val="000000" w:themeColor="text1"/>
          <w:sz w:val="24"/>
          <w:szCs w:val="24"/>
        </w:rPr>
        <w:t>x</w:t>
      </w:r>
      <w:r w:rsidR="00D84AC5" w:rsidRPr="00D84AC5">
        <w:rPr>
          <w:rFonts w:ascii="Times New Roman" w:hAnsi="Times New Roman" w:cs="Times New Roman"/>
          <w:iCs w:val="0"/>
          <w:color w:val="000000" w:themeColor="text1"/>
          <w:sz w:val="24"/>
          <w:szCs w:val="24"/>
          <w:vertAlign w:val="superscript"/>
        </w:rPr>
        <w:t>m</w:t>
      </w:r>
      <w:r w:rsidR="00D84AC5" w:rsidRPr="00D84AC5">
        <w:rPr>
          <w:rFonts w:ascii="Times New Roman" w:hAnsi="Times New Roman" w:cs="Times New Roman"/>
          <w:i w:val="0"/>
          <w:color w:val="000000" w:themeColor="text1"/>
          <w:sz w:val="24"/>
          <w:szCs w:val="24"/>
          <w:vertAlign w:val="subscript"/>
        </w:rPr>
        <w:t>H2OT</w:t>
      </w:r>
      <w:r w:rsidR="00D84AC5">
        <w:rPr>
          <w:rFonts w:ascii="Times New Roman" w:hAnsi="Times New Roman" w:cs="Times New Roman"/>
          <w:i w:val="0"/>
          <w:color w:val="000000" w:themeColor="text1"/>
          <w:sz w:val="24"/>
          <w:szCs w:val="24"/>
        </w:rPr>
        <w:t>)</w:t>
      </w:r>
      <w:r w:rsidR="00D84AC5" w:rsidRPr="00D84AC5">
        <w:rPr>
          <w:rFonts w:ascii="Times New Roman" w:hAnsi="Times New Roman" w:cs="Times New Roman"/>
          <w:i w:val="0"/>
          <w:color w:val="000000" w:themeColor="text1"/>
          <w:sz w:val="24"/>
          <w:szCs w:val="24"/>
          <w:vertAlign w:val="superscript"/>
        </w:rPr>
        <w:t>2</w:t>
      </w:r>
      <w:r w:rsidR="007E263D">
        <w:rPr>
          <w:rFonts w:ascii="Times New Roman" w:hAnsi="Times New Roman" w:cs="Times New Roman"/>
          <w:i w:val="0"/>
          <w:color w:val="000000" w:themeColor="text1"/>
          <w:sz w:val="24"/>
          <w:szCs w:val="24"/>
        </w:rPr>
        <w:t xml:space="preserve"> of 0.005 corresponds to 3.48 </w:t>
      </w:r>
      <w:proofErr w:type="spellStart"/>
      <w:r w:rsidR="007E263D">
        <w:rPr>
          <w:rFonts w:ascii="Times New Roman" w:hAnsi="Times New Roman" w:cs="Times New Roman"/>
          <w:i w:val="0"/>
          <w:color w:val="000000" w:themeColor="text1"/>
          <w:sz w:val="24"/>
          <w:szCs w:val="24"/>
        </w:rPr>
        <w:t>wt</w:t>
      </w:r>
      <w:proofErr w:type="spellEnd"/>
      <w:r w:rsidR="007E263D">
        <w:rPr>
          <w:rFonts w:ascii="Times New Roman" w:hAnsi="Times New Roman" w:cs="Times New Roman"/>
          <w:i w:val="0"/>
          <w:color w:val="000000" w:themeColor="text1"/>
          <w:sz w:val="24"/>
          <w:szCs w:val="24"/>
        </w:rPr>
        <w:t>% H</w:t>
      </w:r>
      <w:r w:rsidR="007E263D" w:rsidRPr="007E263D">
        <w:rPr>
          <w:rFonts w:ascii="Times New Roman" w:hAnsi="Times New Roman" w:cs="Times New Roman"/>
          <w:i w:val="0"/>
          <w:color w:val="000000" w:themeColor="text1"/>
          <w:sz w:val="24"/>
          <w:szCs w:val="24"/>
          <w:vertAlign w:val="subscript"/>
        </w:rPr>
        <w:t>2</w:t>
      </w:r>
      <w:r w:rsidR="007E263D">
        <w:rPr>
          <w:rFonts w:ascii="Times New Roman" w:hAnsi="Times New Roman" w:cs="Times New Roman"/>
          <w:i w:val="0"/>
          <w:color w:val="000000" w:themeColor="text1"/>
          <w:sz w:val="24"/>
          <w:szCs w:val="24"/>
        </w:rPr>
        <w:t xml:space="preserve">O, 0.010 to 4.92 </w:t>
      </w:r>
      <w:proofErr w:type="spellStart"/>
      <w:r w:rsidR="007E263D">
        <w:rPr>
          <w:rFonts w:ascii="Times New Roman" w:hAnsi="Times New Roman" w:cs="Times New Roman"/>
          <w:i w:val="0"/>
          <w:color w:val="000000" w:themeColor="text1"/>
          <w:sz w:val="24"/>
          <w:szCs w:val="24"/>
        </w:rPr>
        <w:t>wt</w:t>
      </w:r>
      <w:proofErr w:type="spellEnd"/>
      <w:r w:rsidR="007E263D">
        <w:rPr>
          <w:rFonts w:ascii="Times New Roman" w:hAnsi="Times New Roman" w:cs="Times New Roman"/>
          <w:i w:val="0"/>
          <w:color w:val="000000" w:themeColor="text1"/>
          <w:sz w:val="24"/>
          <w:szCs w:val="24"/>
        </w:rPr>
        <w:t>% H</w:t>
      </w:r>
      <w:r w:rsidR="007E263D" w:rsidRPr="007E263D">
        <w:rPr>
          <w:rFonts w:ascii="Times New Roman" w:hAnsi="Times New Roman" w:cs="Times New Roman"/>
          <w:i w:val="0"/>
          <w:color w:val="000000" w:themeColor="text1"/>
          <w:sz w:val="24"/>
          <w:szCs w:val="24"/>
          <w:vertAlign w:val="subscript"/>
        </w:rPr>
        <w:t>2</w:t>
      </w:r>
      <w:r w:rsidR="007E263D">
        <w:rPr>
          <w:rFonts w:ascii="Times New Roman" w:hAnsi="Times New Roman" w:cs="Times New Roman"/>
          <w:i w:val="0"/>
          <w:color w:val="000000" w:themeColor="text1"/>
          <w:sz w:val="24"/>
          <w:szCs w:val="24"/>
        </w:rPr>
        <w:t xml:space="preserve">O, and 0.015 to 6.03 </w:t>
      </w:r>
      <w:proofErr w:type="spellStart"/>
      <w:r w:rsidR="007E263D">
        <w:rPr>
          <w:rFonts w:ascii="Times New Roman" w:hAnsi="Times New Roman" w:cs="Times New Roman"/>
          <w:i w:val="0"/>
          <w:color w:val="000000" w:themeColor="text1"/>
          <w:sz w:val="24"/>
          <w:szCs w:val="24"/>
        </w:rPr>
        <w:t>wt</w:t>
      </w:r>
      <w:proofErr w:type="spellEnd"/>
      <w:r w:rsidR="007E263D">
        <w:rPr>
          <w:rFonts w:ascii="Times New Roman" w:hAnsi="Times New Roman" w:cs="Times New Roman"/>
          <w:i w:val="0"/>
          <w:color w:val="000000" w:themeColor="text1"/>
          <w:sz w:val="24"/>
          <w:szCs w:val="24"/>
        </w:rPr>
        <w:t>% H</w:t>
      </w:r>
      <w:r w:rsidR="007E263D" w:rsidRPr="007E263D">
        <w:rPr>
          <w:rFonts w:ascii="Times New Roman" w:hAnsi="Times New Roman" w:cs="Times New Roman"/>
          <w:i w:val="0"/>
          <w:color w:val="000000" w:themeColor="text1"/>
          <w:sz w:val="24"/>
          <w:szCs w:val="24"/>
          <w:vertAlign w:val="subscript"/>
        </w:rPr>
        <w:t>2</w:t>
      </w:r>
      <w:r w:rsidR="007E263D">
        <w:rPr>
          <w:rFonts w:ascii="Times New Roman" w:hAnsi="Times New Roman" w:cs="Times New Roman"/>
          <w:i w:val="0"/>
          <w:color w:val="000000" w:themeColor="text1"/>
          <w:sz w:val="24"/>
          <w:szCs w:val="24"/>
        </w:rPr>
        <w:t>O.</w:t>
      </w:r>
    </w:p>
    <w:p w14:paraId="496B15C0" w14:textId="4DBE71A5" w:rsidR="00425C08" w:rsidRDefault="00425C08" w:rsidP="007747F1">
      <w:pPr>
        <w:jc w:val="both"/>
        <w:rPr>
          <w:rFonts w:ascii="Times New Roman" w:hAnsi="Times New Roman" w:cs="Times New Roman"/>
        </w:rPr>
      </w:pPr>
    </w:p>
    <w:p w14:paraId="6A9DAE03" w14:textId="77777777" w:rsidR="001D4254" w:rsidRPr="00761E97" w:rsidRDefault="001D4254" w:rsidP="001D4254">
      <w:pPr>
        <w:pStyle w:val="Heading3"/>
        <w:jc w:val="both"/>
      </w:pPr>
      <w:r>
        <w:t>Hydrogen (H</w:t>
      </w:r>
      <w:r w:rsidRPr="00D816DF">
        <w:rPr>
          <w:vertAlign w:val="subscript"/>
        </w:rPr>
        <w:t>2</w:t>
      </w:r>
      <w:r>
        <w:t>), carbon monoxide (CO), and methane (CH</w:t>
      </w:r>
      <w:r w:rsidRPr="00D816DF">
        <w:rPr>
          <w:vertAlign w:val="subscript"/>
        </w:rPr>
        <w:t>4</w:t>
      </w:r>
      <w:r>
        <w:t>) solubility</w:t>
      </w:r>
    </w:p>
    <w:p w14:paraId="4E77948E" w14:textId="1CEDF8E9" w:rsidR="001D4254" w:rsidRDefault="001D4254" w:rsidP="00147AF9">
      <w:pPr>
        <w:spacing w:after="245"/>
        <w:ind w:firstLine="720"/>
        <w:jc w:val="both"/>
        <w:rPr>
          <w:rFonts w:ascii="Times New Roman" w:hAnsi="Times New Roman" w:cs="Times New Roman"/>
        </w:rPr>
      </w:pPr>
      <w:r w:rsidRPr="00931995">
        <w:rPr>
          <w:rFonts w:ascii="Times New Roman" w:hAnsi="Times New Roman" w:cs="Times New Roman"/>
          <w:color w:val="000000" w:themeColor="text1"/>
        </w:rPr>
        <w:t xml:space="preserve">Under </w:t>
      </w:r>
      <w:r w:rsidR="00C33A31">
        <w:rPr>
          <w:rFonts w:ascii="Times New Roman" w:hAnsi="Times New Roman" w:cs="Times New Roman"/>
          <w:color w:val="000000" w:themeColor="text1"/>
        </w:rPr>
        <w:t>sufficiently</w:t>
      </w:r>
      <w:r w:rsidRPr="00931995">
        <w:rPr>
          <w:rFonts w:ascii="Times New Roman" w:hAnsi="Times New Roman" w:cs="Times New Roman"/>
          <w:color w:val="000000" w:themeColor="text1"/>
        </w:rPr>
        <w:t xml:space="preserve"> reducing conditions (e.g., lunar and some </w:t>
      </w:r>
      <w:proofErr w:type="spellStart"/>
      <w:r w:rsidR="00D84AC5">
        <w:rPr>
          <w:rFonts w:ascii="Times New Roman" w:hAnsi="Times New Roman" w:cs="Times New Roman"/>
          <w:color w:val="000000" w:themeColor="text1"/>
        </w:rPr>
        <w:t>m</w:t>
      </w:r>
      <w:r w:rsidRPr="00931995">
        <w:rPr>
          <w:rFonts w:ascii="Times New Roman" w:hAnsi="Times New Roman" w:cs="Times New Roman"/>
          <w:color w:val="000000" w:themeColor="text1"/>
        </w:rPr>
        <w:t>artian</w:t>
      </w:r>
      <w:proofErr w:type="spellEnd"/>
      <w:r w:rsidRPr="00931995">
        <w:rPr>
          <w:rFonts w:ascii="Times New Roman" w:hAnsi="Times New Roman" w:cs="Times New Roman"/>
          <w:color w:val="000000" w:themeColor="text1"/>
        </w:rPr>
        <w:t xml:space="preserve"> magmas) additional carbon- and hydrogen-bearing species can dissolve in silicate melts</w:t>
      </w:r>
      <w:r w:rsidR="006B6E47">
        <w:rPr>
          <w:rFonts w:ascii="Times New Roman" w:hAnsi="Times New Roman" w:cs="Times New Roman"/>
          <w:color w:val="000000" w:themeColor="text1"/>
        </w:rPr>
        <w:t xml:space="preserve">: </w:t>
      </w:r>
      <w:r w:rsidR="006B6E47" w:rsidRPr="00892425">
        <w:rPr>
          <w:rFonts w:ascii="Times New Roman" w:hAnsi="Times New Roman"/>
        </w:rPr>
        <w:t>molecular H</w:t>
      </w:r>
      <w:r w:rsidR="006B6E47" w:rsidRPr="00892425">
        <w:rPr>
          <w:rFonts w:ascii="Times New Roman" w:hAnsi="Times New Roman"/>
          <w:vertAlign w:val="subscript"/>
        </w:rPr>
        <w:t>2</w:t>
      </w:r>
      <w:r w:rsidR="006B6E47" w:rsidRPr="00892425">
        <w:rPr>
          <w:rFonts w:ascii="Times New Roman" w:hAnsi="Times New Roman"/>
        </w:rPr>
        <w:t xml:space="preserve"> </w:t>
      </w:r>
      <w:r w:rsidR="006B6E47">
        <w:rPr>
          <w:rFonts w:ascii="Times New Roman" w:hAnsi="Times New Roman"/>
        </w:rPr>
        <w:fldChar w:fldCharType="begin" w:fldLock="1"/>
      </w:r>
      <w:r w:rsidR="0042431E">
        <w:rPr>
          <w:rFonts w:ascii="Times New Roman" w:hAnsi="Times New Roman"/>
        </w:rPr>
        <w:instrText>ADDIN CSL_CITATION {"citationItems":[{"id":"ITEM-1","itemData":{"DOI":"10.1016/s0016-7037(02)01407-2","ISSN":"00167037","abstract":"A kinetic model for the rate of iron–hydrogen redox exchange in silicate glasses and melts has been derived from time-series experiments performed on natural rhyolitic obsidians. Cylinders of the starting glasses were exposed to reducing mixtures composed of H2-Ar-CO2-CO in 1-atm furnaces and H2-Ar in a cold seal pressure vessel. Overall, runs covered the temperature range 300 to 1000°C. The progression of a front of ferric iron reduction within the quenched melt was observed optically through a change of color. For all run conditions, the advancement of the front (ξ) was proportional to the square root of time, revealing the reaction as a diffusion-limited process. Iso-fO2 runs performed in CO2-CO, H2-Ar, and H2-CO2 gases have shown that fH2 rather than fO2 is the dominant parameter controlling the reaction rate. The fH2 dependence of the rate constant was characterized in the range 0.02 to 70 bar. The growth of the reduced layer, which is accompanied by an increase in reaction-derived OH-group content, was fitted considering that the reaction rate is controlled by the migration of a free mobile species (H2) immobilized in the form of OH subsequent to reaction with ferric iron. The reaction rate is thus a function of both solubility and diffusivity of H2 weighted by the concentration of its sink (ferric iron). We extracted a single law for both solubility and diffusivity of H2 in amorphous silicates that applies over a range of temperatures below and above the glass transition temperature. Melt/glass structure (degree of polymerization) does not seem to significantly affect both solubility and diffusivity of H2. We therefore provide a model that allows the prediction of oxidation–reduction rates in the presence of hydrogen for a wide range of compositions of amorphous glasses and melts. Comparisons with previous work elucidating rate of redox exchange in dry systems allow us to anticipate the fH2-T domains where different redox mechanisms may apply. We conclude that equilibration of redox potential in nature should be dominated by H2 transfer at a rate controlled by both H2 solubility and diffusion. Numerical applications of the model illustrate redox exchanges in natural magmas and in glasses exposed to weathering under near surface conditions. We show that crustal events such as magmas mixing should not modify the iron redox state of magmas. In the case of nuclear-waste-bearing glasses, the fH2 conditions in the host terrain are clearly a parameter t…","author":[{"dropping-particle":"","family":"Gaillard","given":"Fabrice","non-dropping-particle":"","parse-names":false,"suffix":""},{"dropping-particle":"","family":"Schmidt","given":"Burkhard","non-dropping-particle":"","parse-names":false,"suffix":""},{"dropping-particle":"","family":"Mackwell","given":"Steven","non-dropping-particle":"","parse-names":false,"suffix":""},{"dropping-particle":"","family":"McCammon","given":"Catherine","non-dropping-particle":"","parse-names":false,"suffix":""}],"container-title":"Geochimica et Cosmochimica Acta","id":"ITEM-1","issue":"13","issued":{"date-parts":[["2003","7","1"]]},"page":"2427-2441","publisher":"Elsevier BV","title":"Rate of hydrogen–iron redox exchange in silicate melts and glasses","type":"article-journal","volume":"67"},"uris":["http://www.mendeley.com/documents/?uuid=fbdb0798-a0d1-39ca-b7e3-740c50be2cbe"]},{"id":"ITEM-2","itemData":{"DOI":"10.1016/J.EPSL.2012.06.031","ISSN":"0012-821X","abstract":"We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Letters","id":"ITEM-2","issued":{"date-parts":[["2012","9","1"]]},"page":"38-48","publisher":"Elsevier","title":"Solubility of molecular hydrogen in silicate melts and consequences for volatile evolution of terrestrial planets","type":"article-journal","volume":"345-348"},"uris":["http://www.mendeley.com/documents/?uuid=0b218f94-363e-373b-aae6-51c0c4c55f42"]},{"id":"ITEM-3","itemData":{"DOI":"10.1093/PETROLOGY/EGH007","ISSN":"0022-3530","abstract":"Studies of iron-bearing silicate melt (ferrobasalt) + iron metallic phase + graphite + hydrogen equilibria show that carbon and hydrogen solubilities in melts are important for the evolution of the upper mantle. In a series of experiments conducted at 3·7 GPa and 1520-1600°C, we have characterized the nature (oxidized vs reduced) and quantified the abundances of C- and H-compounds dissolved in iron-bearing silicate melts. Experiments were carried out in an anvil-with-hole apparatus permitting the achievement of equal chemical potentials of H2 in the inner Pt capsule and outer furnace assembly. The fO2 for silicate melt-iron equilibrium was 2·32 ± 0·04 log units below iron-wüstite (IW). The ferrobasalt used as starting material experienced a reduction of its iron oxides and silicate network. The counterpart was a liberation of oxygen reacting with the hydrogen entering the capsule. The amount of H2O dissolved in the glasses was measured by ion microprobe and by step-heating and was found to be between 1 and 2 wt %. The dissolved carbon content was found to be 1600 ppm C by step-heating. The speciation of C and H components was determined by IR and Raman spectroscopy. It was established that the main part of the liberated oxygen was used to form OH- and to a much lesser extent H2O, and only traces of H2, CO2 and CO32-. Dissolved carbon is mainly present as atomic carbon or amorphous carbon. It was possible to measure an isotopic fractionation of 0·8‰ between graphite and dissolved or amorphous carbon at the temperatures of experiments. The Raman spectra also suggest that the network units might contain Si-C bonds. Comparison of our results with the literature demonstrates that the amount of dissolved species decreases as fO2 decreases. In the light of these experimental data, it appears that large-scale melting of the proto-Earth could be associated with melts containing an oxidized form of hydrogen. The early Earth, however, was likely to have been a very reducing environment, in which most of the carbon remained stable in the form of graphite. As the Earth became more and more oxidized, melts formed at depth would have dissolved larger amounts of water, and also carbon in the form of CO2, which would have made the degassing of the upper mantle more and more efficient. © Oxford University Press 2004; all rights reserved.","author":[{"dropping-particle":"","family":"Kadik","given":"A.","non-dropping-particle":"","parse-names":false,"suffix":""},{"dropping-particle":"","family":"Pineau","given":"F.","non-dropping-particle":"","parse-names":false,"suffix":""},{"dropping-particle":"","family":"Litvin","given":"Y.","non-dropping-particle":"","parse-names":false,"suffix":""},{"dropping-particle":"","family":"Jendrzejewski","given":"N.","non-dropping-particle":"","parse-names":false,"suffix":""},{"dropping-particle":"","family":"Martinez","given":"I.","non-dropping-particle":"","parse-names":false,"suffix":""},{"dropping-particle":"","family":"Javoy","given":"M.","non-dropping-particle":"","parse-names":false,"suffix":""}],"container-title":"Journal of Petrology","id":"ITEM-3","issue":"7","issued":{"date-parts":[["2004","7","1"]]},"page":"1297-1310","publisher":"Oxford Academic","title":"Formation of Carbon and Hydrogen Species in Magmas at Low Oxygen Fugacity","type":"article-journal","volume":"45"},"uris":["http://www.mendeley.com/documents/?uuid=c7afaa4a-69fd-30ec-89a4-ec915fadfafb"]},{"id":"ITEM-4","itemData":{"DOI":"10.1016/J.GCA.2011.07.035","ISSN":"0016-7037","abstract":"Solubility and solution mechanisms in silicate melts of oxidized and reduced C-bearing species in the C-O-H system have been determined experimentally at 1.5GPa and 1400°C with mass spectrometric, NMR, and Raman spectroscopic methods. The hydrogen fugacity, fH2, was controlled in the range between that of the iron-wüstite-H2O (IW) and the magnetite-hematite-H2O (MH) buffers. The melt polymerization varied between those typical of tholeiitic and andesitic melts.The solubility of oxidized (on the order of 1-2wt% as C) and reduced carbon (on the order of 0.15-0.35wt% as C) is positively correlated with the NBO/Si (nonbridging oxygen per silicon) of the melt. At given NBO/Si-value, the solubility of oxidized carbon is 2-4 times greater than under reducing conditions. Oxidized carbon dioxide is dissolved as CO32- complexes, whereas the dominant reduced species in melts are CH3-groups forming bonds with Si4+ together with molecular CH4. Formation of CO32- complexes results in silicate melt polymerization (decreasing NBO/Si), whereas solution of reduced carbon results in depolymerization of melts (increasing NBO/Si).Redox melting in the Earth's interior has been explained with the aid of the different solution mechanisms of oxidized and reduced carbon in silicate melts. Further, effects of oxidized and reduced carbon on melt viscosity and on element partitioning between melts and minerals have been evaluated from relationships between melt polymerization and dissolved carbon combined with existing experimental data that link melt properties and melt polymerization. With total carbon contents in the melts on the order of several mol%, mineral/melt element partition coefficients and melt viscosity can change by several tens to several hundred percent with variable redox conditions in the range of the Earth's deep crust and upper mantle. © 2011 Elsevier Ltd.","author":[{"dropping-particle":"","family":"Mysen","given":"Bjorn O.","non-dropping-particle":"","parse-names":false,"suffix":""},{"dropping-particle":"","family":"Kumamoto","given":"Kathryn","non-dropping-particle":"","parse-names":false,"suffix":""},{"dropping-particle":"","family":"Cody","given":"George D.","non-dropping-particle":"","parse-names":false,"suffix":""},{"dropping-particle":"","family":"Fogel","given":"Marilyn L.","non-dropping-particle":"","parse-names":false,"suffix":""}],"container-title":"Geochimica et Cosmochimica Acta","id":"ITEM-4","issue":"20","issued":{"date-parts":[["2011","10","15"]]},"page":"6183-6199","publisher":"Pergamon","title":"Solubility and solution mechanisms of C–O–H volatiles in silicate melt with variable redox conditions and melt composition at upper mantle temperatures and pressures","type":"article-journal","volume":"75"},"uris":["http://www.mendeley.com/documents/?uuid=e5bc21a0-963c-359c-b44d-36deaf1e97be"]}],"mendeley":{"formattedCitation":"(Gaillard et al., 2003; Hirschmann et al., 2012; Kadik et al., 2004; Mysen et al., 2011)","plainTextFormattedCitation":"(Gaillard et al., 2003; Hirschmann et al., 2012; Kadik et al., 2004; Mysen et al., 2011)","previouslyFormattedCitation":"(Gaillard et al., 2003; Hirschmann et al., 2012; Kadik et al., 2004; Mysen et al., 2011)"},"properties":{"noteIndex":0},"schema":"https://github.com/citation-style-language/schema/raw/master/csl-citation.json"}</w:instrText>
      </w:r>
      <w:r w:rsidR="006B6E47">
        <w:rPr>
          <w:rFonts w:ascii="Times New Roman" w:hAnsi="Times New Roman"/>
        </w:rPr>
        <w:fldChar w:fldCharType="separate"/>
      </w:r>
      <w:r w:rsidR="0042431E" w:rsidRPr="0042431E">
        <w:rPr>
          <w:rFonts w:ascii="Times New Roman" w:hAnsi="Times New Roman"/>
          <w:noProof/>
        </w:rPr>
        <w:t>(Gaillard et al., 2003; Hirschmann et al., 2012; Kadik et al., 2004; Mysen et al., 2011)</w:t>
      </w:r>
      <w:r w:rsidR="006B6E47">
        <w:rPr>
          <w:rFonts w:ascii="Times New Roman" w:hAnsi="Times New Roman"/>
        </w:rPr>
        <w:fldChar w:fldCharType="end"/>
      </w:r>
      <w:r w:rsidR="006B6E47" w:rsidRPr="00892425">
        <w:rPr>
          <w:rFonts w:ascii="Times New Roman" w:hAnsi="Times New Roman"/>
        </w:rPr>
        <w:t>, molecular CO</w:t>
      </w:r>
      <w:r w:rsidR="006B6E47">
        <w:rPr>
          <w:rFonts w:ascii="Times New Roman" w:hAnsi="Times New Roman"/>
        </w:rPr>
        <w:t xml:space="preserve"> </w:t>
      </w:r>
      <w:r w:rsidR="006B6E47">
        <w:rPr>
          <w:rFonts w:ascii="Times New Roman" w:hAnsi="Times New Roman"/>
        </w:rPr>
        <w:fldChar w:fldCharType="begin" w:fldLock="1"/>
      </w:r>
      <w:r w:rsidR="0042431E">
        <w:rPr>
          <w:rFonts w:ascii="Times New Roman" w:hAnsi="Times New Roman"/>
        </w:rPr>
        <w:instrText>ADDIN CSL_CITATION {"citationItems":[{"id":"ITEM-1","itemData":{"DOI":"10.1016/j.gca.2015.07.007","ISSN":"00167037","abstract":"Using vibrational spectroscopy and SIMS, we determined the solubility and speciation of C-O-H-N dissolved volatiles in mafic glasses quenched from high pressure under reduced conditions, with fO2 from -3.65 to +1.46 relative to the iron-wüstite buffer (IW). Experiments were performed on martian and terrestrial basalts at 1.2GPa and 1400°C in graphite containers with variable availability of H2O, and in the presence of FePt alloys or Fe-C liquids. The dominant C-O-H-N species varies systematically with fO2 and H2O content: the carbonate ion prevails above IW+1, but for dry conditions between IW-2 and IW+1, CO species are most important. Below IW, reduced NH-bearing species are present. At the most reducing and hydrous (~0.5wt% H2O) conditions, small amounts of CH4 are present. Concentrations of C diminish as conditions become more reduced, amounting to 10s to ~100ppm in the interval ~IW-2 to IW+1 where CO species dominate, and as little as 1-3ppm at more reduced conditions. Concentrations of non-carbonate carbon, dominated by CO species, correlate with CO fugacities along a trend implying that the species stoichiometry has just one CO group and suggesting that carbonyl complexes (transition metals with multiple carbon monoxide ligands) are not important species under these conditions. C partition coefficients between Fe-C liquid and silicate melt increase with decreasing fO2, becoming as great as 104 for the most reducing conditions investigated. The low solubility of C in silicate liquids under reducing conditions means that most C during the magma ocean stage of planetary differentiation is either segregated to the core or in the overlying atmosphere. Precipitation of C-rich phases in a carbon-saturated magma ocean is also possible, and is one mechanism by which some C can be retained in the mantle of a planet. The predominant magmatic carbonaceous species for both martian and lunar volcanism is likely CO.","author":[{"dropping-particle":"","family":"Armstrong","given":"Lora S.","non-dropping-particle":"","parse-names":false,"suffix":""},{"dropping-particle":"","family":"Hirschmann","given":"Marc M.","non-dropping-particle":"","parse-names":false,"suffix":""},{"dropping-particle":"","family":"Stanley","given":"Ben D.","non-dropping-particle":"","parse-names":false,"suffix":""},{"dropping-particle":"","family":"Falksen","given":"Emily G.","non-dropping-particle":"","parse-names":false,"suffix":""},{"dropping-particle":"","family":"Jacobsen","given":"Steven D.","non-dropping-particle":"","parse-names":false,"suffix":""}],"container-title":"Geochimica et Cosmochimica Acta","id":"ITEM-1","issued":{"date-parts":[["2015","12","15"]]},"page":"283-302","publisher":"Elsevier Ltd","title":"Speciation and solubility of reduced C-O-H-N volatiles in mafic melt: Implications for volcanism, atmospheric evolution, and deep volatile cycles in the terrestrial planets","type":"article-journal","volume":"171"},"uris":["http://www.mendeley.com/documents/?uuid=6626ae04-d1ec-3960-bcb4-cbad3fb244b0"]},{"id":"ITEM-2","itemData":{"author":[{"dropping-particle":"","family":"Brooker","given":"Richard A.","non-dropping-particle":"","parse-names":false,"suffix":""},{"dropping-particle":"","family":"Kohn","given":"Simon C.","non-dropping-particle":"","parse-names":false,"suffix":""},{"dropping-particle":"","family":"Holloway","given":"John R.","non-dropping-particle":"","parse-names":false,"suffix":""},{"dropping-particle":"","family":"McMillan","given":"P.F.","non-dropping-particle":"","parse-names":false,"suffix":""},{"dropping-particle":"","family":"Carroll","given":"M.R.","non-dropping-particle":"","parse-names":false,"suffix":""}],"container-title":"Geochimica et Cosmochimica Acta","id":"ITEM-2","issue":"21","issued":{"date-parts":[["1999"]]},"page":"3549-3565","title":"Solubility, speciation and dissolution mechanisms for CO2 in melts on the NaAlO2-SiO2 join","type":"article-journal","volume":"63"},"uris":["http://www.mendeley.com/documents/?uuid=0ba04d7c-ddd8-48a5-9887-867c45bdd438"]},{"id":"ITEM-3","itemData":{"DOI":"10.1016/J.GCA.2019.06.007","ISSN":"0016-7037","abstract":"The solubility of carbon in silicate melts (Fe-free MORB basalt, Fe-free andesite and Fe-free rhyolite) coexisting with graphite and a CO-CO2 fluid phase was measured to 3 GPa and 1500 °C. Experiments in the 0.2–0.5 GPa range were carried out in an internally heated pressure vessel equipped with a rapid-quench device. In these experiments, glass powder and pure CO gas were directly loaded into platinum capsules; during the runs, graphite precipitated, indicating that the equilibrium 2 CO = C + CO2 in the gas phase was reached. Experiments at higher pressures were carried out in a piston cylinder apparatus, starting with glass powder, graphite, and Ag2C2O4 as a source of CO2. Carbon contents in quenched glasses were measured by secondary ion mass spectrometry (SIMS). Bulk carbon solubility is directly proportional to pressure and follows Henry's law with good approximation. The effect of temperature on solubility is small. Henry coefficients of bulk carbon solubility obtained by fitting all data were 2.15 ppm C/MPa for MORB, 1.57 ppm C/MPa for andesite and 2.14 ppm C/MPa for rhyolite. In almost all samples, bulk carbon contents were higher than the content of oxidized carbon (CO2 and carbonate). The difference is interpreted to be due to dissolved CO, consistent with bands in the 2100–2200 cm−1 range of the infrared and Raman spectra. For MORB, the solubility cCO of CO (expressed as wt.% carbon) may be described by the relationship log cCOMORB = −5.20 + 0.80 log fCO (R2 = 0.83), where fCO is CO fugacity, while the rhyolite data are best described by log cCORhyolite = −4.08 + 0.52 log fCO (R2 = 0.72). Our data imply that the solubility of carbon in silicate melts depends very strongly on whether or not graphite saturation in the gas phase is reached, as the equilibrium with graphite affects the fugacity of CO and CO2. If the equilibrium 2 CO = C + CO2 is attained through graphite precipitation, bulk carbon solubility will be close to the solubility of CO2 over a wide pressure and temperature range, since the gas phase consists mostly of CO2. Only at low pressures of a few 100 MPa or below, the fraction of CO in the gas phase becomes so large that bulk carbon solubility is significantly reduced compared to CO2. Low carbon solubilities may also be observed in situations where graphite precipitation is kinetically inhibited. This could have been the case in the source region of lunar fire fountain eruptions, where dissolved CO may have caused vapor saturatio…","author":[{"dropping-particle":"","family":"Yoshioka","given":"Takahiro","non-dropping-particle":"","parse-names":false,"suffix":""},{"dropping-particle":"","family":"Nakashima","given":"Daisuke","non-dropping-particle":"","parse-names":false,"suffix":""},{"dropping-particle":"","family":"Nakamura","given":"Tomoki","non-dropping-particle":"","parse-names":false,"suffix":""},{"dropping-particle":"","family":"Shcheka","given":"Svyatoslav","non-dropping-particle":"","parse-names":false,"suffix":""},{"dropping-particle":"","family":"Keppler","given":"Hans","non-dropping-particle":"","parse-names":false,"suffix":""}],"container-title":"Geochimica et Cosmochimica Acta","id":"ITEM-3","issued":{"date-parts":[["2019","8","15"]]},"page":"129-143","publisher":"Pergamon","title":"Carbon solubility in silicate melts in equilibrium with a CO-CO2 gas phase and graphite","type":"article-journal","volume":"259"},"uris":["http://www.mendeley.com/documents/?uuid=abdab2ae-0df9-3ca0-be78-e7c0a2dab0a5"]}],"mendeley":{"formattedCitation":"(Armstrong et al., 2015; Brooker et al., 1999; Yoshioka et al., 2019)","manualFormatting":"(COmol; e.g., Brooker et al. 1999; Armstrong et al. 2015; Yoshioka et al. 2019)","plainTextFormattedCitation":"(Armstrong et al., 2015; Brooker et al., 1999; Yoshioka et al., 2019)","previouslyFormattedCitation":"(Armstrong et al., 2015; Brooker et al., 1999; Yoshioka et al., 2019)"},"properties":{"noteIndex":0},"schema":"https://github.com/citation-style-language/schema/raw/master/csl-citation.json"}</w:instrText>
      </w:r>
      <w:r w:rsidR="006B6E47">
        <w:rPr>
          <w:rFonts w:ascii="Times New Roman" w:hAnsi="Times New Roman"/>
        </w:rPr>
        <w:fldChar w:fldCharType="separate"/>
      </w:r>
      <w:r w:rsidR="006B6E47" w:rsidRPr="00455075">
        <w:rPr>
          <w:rFonts w:ascii="Times New Roman" w:hAnsi="Times New Roman"/>
          <w:noProof/>
        </w:rPr>
        <w:t>(</w:t>
      </w:r>
      <w:r w:rsidR="006B6E47" w:rsidRPr="00892425">
        <w:rPr>
          <w:rFonts w:ascii="Times New Roman" w:hAnsi="Times New Roman"/>
          <w:noProof/>
        </w:rPr>
        <w:t>CO</w:t>
      </w:r>
      <w:r w:rsidR="006B6E47" w:rsidRPr="00892425">
        <w:rPr>
          <w:rFonts w:ascii="Times New Roman" w:hAnsi="Times New Roman"/>
          <w:noProof/>
          <w:vertAlign w:val="subscript"/>
        </w:rPr>
        <w:t>mol</w:t>
      </w:r>
      <w:r w:rsidR="006B6E47">
        <w:rPr>
          <w:rFonts w:ascii="Times New Roman" w:hAnsi="Times New Roman"/>
          <w:noProof/>
        </w:rPr>
        <w:t xml:space="preserve">; e.g., </w:t>
      </w:r>
      <w:r w:rsidR="006B6E47" w:rsidRPr="00455075">
        <w:rPr>
          <w:rFonts w:ascii="Times New Roman" w:hAnsi="Times New Roman"/>
          <w:noProof/>
        </w:rPr>
        <w:t xml:space="preserve">Brooker </w:t>
      </w:r>
      <w:r w:rsidR="006B6E47" w:rsidRPr="00455075">
        <w:rPr>
          <w:rFonts w:ascii="Times New Roman" w:hAnsi="Times New Roman"/>
          <w:i/>
          <w:noProof/>
        </w:rPr>
        <w:t>et al.</w:t>
      </w:r>
      <w:r w:rsidR="006B6E47" w:rsidRPr="00455075">
        <w:rPr>
          <w:rFonts w:ascii="Times New Roman" w:hAnsi="Times New Roman"/>
          <w:noProof/>
        </w:rPr>
        <w:t xml:space="preserve"> 1999; Armstrong </w:t>
      </w:r>
      <w:r w:rsidR="006B6E47" w:rsidRPr="00455075">
        <w:rPr>
          <w:rFonts w:ascii="Times New Roman" w:hAnsi="Times New Roman"/>
          <w:i/>
          <w:noProof/>
        </w:rPr>
        <w:t>et al.</w:t>
      </w:r>
      <w:r w:rsidR="006B6E47" w:rsidRPr="00455075">
        <w:rPr>
          <w:rFonts w:ascii="Times New Roman" w:hAnsi="Times New Roman"/>
          <w:noProof/>
        </w:rPr>
        <w:t xml:space="preserve"> 2015; Yoshioka </w:t>
      </w:r>
      <w:r w:rsidR="006B6E47" w:rsidRPr="00455075">
        <w:rPr>
          <w:rFonts w:ascii="Times New Roman" w:hAnsi="Times New Roman"/>
          <w:i/>
          <w:noProof/>
        </w:rPr>
        <w:t>et al.</w:t>
      </w:r>
      <w:r w:rsidR="006B6E47" w:rsidRPr="00455075">
        <w:rPr>
          <w:rFonts w:ascii="Times New Roman" w:hAnsi="Times New Roman"/>
          <w:noProof/>
        </w:rPr>
        <w:t xml:space="preserve"> 2019)</w:t>
      </w:r>
      <w:r w:rsidR="006B6E47">
        <w:rPr>
          <w:rFonts w:ascii="Times New Roman" w:hAnsi="Times New Roman"/>
        </w:rPr>
        <w:fldChar w:fldCharType="end"/>
      </w:r>
      <w:r w:rsidR="006B6E47" w:rsidRPr="00892425">
        <w:rPr>
          <w:rFonts w:ascii="Times New Roman" w:hAnsi="Times New Roman"/>
        </w:rPr>
        <w:t>, and molecular CH</w:t>
      </w:r>
      <w:r w:rsidR="006B6E47" w:rsidRPr="00892425">
        <w:rPr>
          <w:rFonts w:ascii="Times New Roman" w:hAnsi="Times New Roman"/>
          <w:vertAlign w:val="subscript"/>
        </w:rPr>
        <w:t>4</w:t>
      </w:r>
      <w:r w:rsidR="006B6E47" w:rsidRPr="00892425">
        <w:rPr>
          <w:rFonts w:ascii="Times New Roman" w:hAnsi="Times New Roman"/>
        </w:rPr>
        <w:t xml:space="preserve"> </w:t>
      </w:r>
      <w:r w:rsidR="006B6E47">
        <w:rPr>
          <w:rFonts w:ascii="Times New Roman" w:hAnsi="Times New Roman"/>
        </w:rPr>
        <w:fldChar w:fldCharType="begin" w:fldLock="1"/>
      </w:r>
      <w:r w:rsidR="0042431E">
        <w:rPr>
          <w:rFonts w:ascii="Times New Roman" w:hAnsi="Times New Roman"/>
        </w:rPr>
        <w:instrText>ADDIN CSL_CITATION {"citationItems":[{"id":"ITEM-1","itemData":{"DOI":"10.1016/J.CHEMGEO.2012.10.006","ISSN":"0009-2541","abstract":"The C-O-H-N solubility and solution mechanisms in silicate melts and C-O-H-N speciation in coexisting fluid to upper mantle temperatures and pressures and with redox conditions from the MH to the IW buffer are discussed. Focus is on in-situ structural characterization of coexisting melt and fluid. In fluid+melt-COH, fluid+melt-NOH, and fluid+melt-OH systems, volatiles are dissolved in molecular form (CO2, CH4, NH3, N2, H2O, H2) and as complexes that form chemical bonding with the silicate network (CO3, CH3, NH2, OH).In silicate-OH systems molecular H2O (H2OÚ) and OH-groups exist in silicate- and aluminosilicate-saturated fluids and coexisting water-saturated melts above ~400°C and ~0.5GPa with their OH/H2OÚ-ratio positively correlated with temperature. The extent of hydrogen bonding in both fluids and melts diminishes with temperature so that above ~400°C it cannot be detected. The incrementH of hydrogen bonding in aqueous fluid (22±1kJ/mol) is about twice that in silicate melts (10±2kJ/mol). Silicate speciation in silicate-saturated fluid and hydrous silicate melts comprises similar Q-species with incrementH of the solution reactions in silicate-saturated fluid, water-saturated melt, and supercritical fluid ~400kJ/mol.In COH-silicate systems methane solubility in melt increases from 0.2wt.% to ~0.5wt.% in the melt NBO/Si range from 0.4 to 1.0 at 1-2.5GPa and 1400°C. The solubility increases by ~150% between the redox conditions of the IW and MH buffers. At the NNO buffer conditions and more oxidizing, carbon exists as carbonate complexes in melts and as CO2 in fluid. Reduced (C+H)-bearing species in melts (CH3-groups and molecular CH4) are stable at fH2(MW) and more reducing conditions, whereas the species in coexisting fluid are CH4, H2, and H2O.In NOH-silicate systems, the N solubility in melt decreases from 0.98 to 0.28wt.% in the melt NBO/Si-range from 0.4 to 1.18 at the redox conditions of the IW buffer. The solubility decreases by about 50% between the redox conditions of the IW and MH buffers. At IW, nitrogen occurs in silicate melts amine groups, NH2, bonded to the silicate network, and as molecular NH3, whereas in coexisting NOH fluids the dominant species are NH3, N2, H2 and H2O. The NH2-/NH3 abundance ratio varies by ~55 between melt compositions with NBO/Si=1.18 and 0.4. In fluids and melts, decreasing hydrogen fugacity leads to oxidation of nitrogen to form molecular N2 so that at the MH redox conditions, the dominant N-bearing species is …","author":[{"dropping-particle":"","family":"Mysen","given":"Bjorn","non-dropping-particle":"","parse-names":false,"suffix":""}],"container-title":"Chemical Geology","id":"ITEM-1","issued":{"date-parts":[["2013","5","27"]]},"page":"113-124","publisher":"Elsevier","title":"Structure–property relationships of COHN-saturated silicate melt coexisting with COHN fluid: A review of in-situ, high-temperature, high-pressure experiments","type":"article-journal","volume":"346"},"uris":["http://www.mendeley.com/documents/?uuid=60cee9d5-608f-3ec6-af38-b45dcb5976bd"]},{"id":"ITEM-2","itemData":{"DOI":"10.1016/J.GCA.2013.03.028","ISSN":"0016-7037","abstract":"We employ a double capsule technique to determine the solubility of CH4 in haplobasaltic (Fe-free) liquid under conditions of constrained methane fugacity, fCH4, at pressures of 0.7-3GPa at 1400-1450°C. Dissolved C-O-H species are examined with FTIR and Raman spectroscopy, and CH4 and CH3- are the only C-bearing species detected. Carbon solubilities are quantified using SIMS, range from 70 to 480ppm when calculated as CH4, and increase with pressure. Concentrations are parameterized with a thermodynamic model and are found to be related to fCH4 and pressure. Application of this thermodynamic model shows dissolved CH4 contents of graphite-saturated magmas are little-influenced by pressure for conditions of fixed fO2 relative to metal-oxide buffers and fixed total H content. Because fCH4 of graphite-saturated systems increases with the square of hydrogen fugacity, dissolved fCH4 increases with decreasing fO2 and increases exponentially with increasing total H content. The experimentally-observed increase with pressure is related to variations in fO2 and H content. Dissolved CH4 contents of Martian magmas in their source regions are small, such that it is unlikely that magmatic CH4 is a principal contributor to greenhouse conditions early in Martian history. Concentrations of dissolved C-O-H volatiles in a magma ocean early in the history of a terrestrial planet may be diminished by reducing conditions, leading to development of a massive atmosphere and a greatly decreased inventory of volatiles stored in planetary interiors at the outset of planetary history. Dissolution of methane may enhance the retention of C in the silicate Earth during core formation, but experimental evaluation of its influence on metal/silicate partitioning of C requires careful matching of the magmatic H concentration between experiments and natural systems. © 2013 Elsevier Ltd.","author":[{"dropping-particle":"","family":"Ardia","given":"P.","non-dropping-particle":"","parse-names":false,"suffix":""},{"dropping-particle":"","family":"Hirschmann","given":"M. M.","non-dropping-particle":"","parse-names":false,"suffix":""},{"dropping-particle":"","family":"Withers","given":"A. C.","non-dropping-particle":"","parse-names":false,"suffix":""},{"dropping-particle":"","family":"Stanley","given":"B. D.","non-dropping-particle":"","parse-names":false,"suffix":""}],"container-title":"Geochimica et Cosmochimica Acta","id":"ITEM-2","issued":{"date-parts":[["2013","8","1"]]},"page":"52-71","publisher":"Pergamon","title":"Solubility of CH4 in a synthetic basaltic melt, with applications to atmosphere–magma ocean–core partitioning of volatiles and to the evolution of the Martian atmosphere","type":"article-journal","volume":"114"},"uris":["http://www.mendeley.com/documents/?uuid=f480b134-992e-323d-9672-6feca8280fae"]}],"mendeley":{"formattedCitation":"(Ardia et al., 2013; Mysen, 2013)","manualFormatting":"(CH4,mol; e.g., Ardia et al. 2013; Mysen 2013)","plainTextFormattedCitation":"(Ardia et al., 2013; Mysen, 2013)","previouslyFormattedCitation":"(Ardia et al., 2013; Mysen, 2013)"},"properties":{"noteIndex":0},"schema":"https://github.com/citation-style-language/schema/raw/master/csl-citation.json"}</w:instrText>
      </w:r>
      <w:r w:rsidR="006B6E47">
        <w:rPr>
          <w:rFonts w:ascii="Times New Roman" w:hAnsi="Times New Roman"/>
        </w:rPr>
        <w:fldChar w:fldCharType="separate"/>
      </w:r>
      <w:r w:rsidR="006B6E47" w:rsidRPr="000C2D38">
        <w:rPr>
          <w:rFonts w:ascii="Times New Roman" w:hAnsi="Times New Roman"/>
          <w:noProof/>
        </w:rPr>
        <w:t>(</w:t>
      </w:r>
      <w:r w:rsidR="006B6E47" w:rsidRPr="00892425">
        <w:rPr>
          <w:rFonts w:ascii="Times New Roman" w:hAnsi="Times New Roman"/>
          <w:noProof/>
        </w:rPr>
        <w:t>CH</w:t>
      </w:r>
      <w:r w:rsidR="006B6E47" w:rsidRPr="00892425">
        <w:rPr>
          <w:rFonts w:ascii="Times New Roman" w:hAnsi="Times New Roman"/>
          <w:noProof/>
          <w:vertAlign w:val="subscript"/>
        </w:rPr>
        <w:t>4,mol</w:t>
      </w:r>
      <w:r w:rsidR="006B6E47">
        <w:rPr>
          <w:rFonts w:ascii="Times New Roman" w:hAnsi="Times New Roman"/>
          <w:noProof/>
        </w:rPr>
        <w:t xml:space="preserve">; e.g., </w:t>
      </w:r>
      <w:r w:rsidR="006B6E47" w:rsidRPr="000C2D38">
        <w:rPr>
          <w:rFonts w:ascii="Times New Roman" w:hAnsi="Times New Roman"/>
          <w:noProof/>
        </w:rPr>
        <w:t xml:space="preserve">Ardia </w:t>
      </w:r>
      <w:r w:rsidR="006B6E47" w:rsidRPr="000C2D38">
        <w:rPr>
          <w:rFonts w:ascii="Times New Roman" w:hAnsi="Times New Roman"/>
          <w:i/>
          <w:noProof/>
        </w:rPr>
        <w:t>et al.</w:t>
      </w:r>
      <w:r w:rsidR="006B6E47" w:rsidRPr="000C2D38">
        <w:rPr>
          <w:rFonts w:ascii="Times New Roman" w:hAnsi="Times New Roman"/>
          <w:noProof/>
        </w:rPr>
        <w:t xml:space="preserve"> 2013; Mysen 2013)</w:t>
      </w:r>
      <w:r w:rsidR="006B6E47">
        <w:rPr>
          <w:rFonts w:ascii="Times New Roman" w:hAnsi="Times New Roman"/>
        </w:rPr>
        <w:fldChar w:fldCharType="end"/>
      </w:r>
      <w:r w:rsidRPr="00931995">
        <w:rPr>
          <w:rFonts w:ascii="Times New Roman" w:hAnsi="Times New Roman" w:cs="Times New Roman"/>
          <w:color w:val="000000" w:themeColor="text1"/>
        </w:rPr>
        <w:t xml:space="preserve">. We consider dissolution </w:t>
      </w:r>
      <w:r w:rsidR="00B9491E">
        <w:rPr>
          <w:rFonts w:ascii="Times New Roman" w:hAnsi="Times New Roman" w:cs="Times New Roman"/>
        </w:rPr>
        <w:t>via</w:t>
      </w:r>
      <w:r w:rsidRPr="00931995">
        <w:rPr>
          <w:rFonts w:ascii="Times New Roman" w:hAnsi="Times New Roman" w:cs="Times New Roman"/>
        </w:rPr>
        <w:t xml:space="preserve"> the following reactions, with their associated equilibrium constants</w:t>
      </w:r>
      <w:r w:rsidR="006B6E47">
        <w:rPr>
          <w:rFonts w:ascii="Times New Roman" w:hAnsi="Times New Roman" w:cs="Times New Roman"/>
        </w:rPr>
        <w:t xml:space="preserve"> and </w:t>
      </w:r>
      <w:r w:rsidR="00B9491E">
        <w:rPr>
          <w:rFonts w:ascii="Times New Roman" w:hAnsi="Times New Roman" w:cs="Times New Roman"/>
        </w:rPr>
        <w:t xml:space="preserve">solubilities, which are summarised in </w:t>
      </w:r>
      <w:r w:rsidR="00B9491E" w:rsidRPr="00B9491E">
        <w:rPr>
          <w:rFonts w:ascii="Times New Roman" w:hAnsi="Times New Roman" w:cs="Times New Roman"/>
        </w:rPr>
        <w:fldChar w:fldCharType="begin"/>
      </w:r>
      <w:r w:rsidR="00B9491E" w:rsidRPr="00B9491E">
        <w:rPr>
          <w:rFonts w:ascii="Times New Roman" w:hAnsi="Times New Roman" w:cs="Times New Roman"/>
        </w:rPr>
        <w:instrText xml:space="preserve"> REF _Ref128320657 \h </w:instrText>
      </w:r>
      <w:r w:rsidR="00B9491E">
        <w:rPr>
          <w:rFonts w:ascii="Times New Roman" w:hAnsi="Times New Roman" w:cs="Times New Roman"/>
        </w:rPr>
        <w:instrText xml:space="preserve"> \* MERGEFORMAT </w:instrText>
      </w:r>
      <w:r w:rsidR="00B9491E" w:rsidRPr="00B9491E">
        <w:rPr>
          <w:rFonts w:ascii="Times New Roman" w:hAnsi="Times New Roman" w:cs="Times New Roman"/>
        </w:rPr>
      </w:r>
      <w:r w:rsidR="00B9491E" w:rsidRPr="00B9491E">
        <w:rPr>
          <w:rFonts w:ascii="Times New Roman" w:hAnsi="Times New Roman" w:cs="Times New Roman"/>
        </w:rPr>
        <w:fldChar w:fldCharType="separate"/>
      </w:r>
      <w:r w:rsidR="00B9491E" w:rsidRPr="00B9491E">
        <w:rPr>
          <w:rFonts w:ascii="Times New Roman" w:hAnsi="Times New Roman" w:cs="Times New Roman"/>
          <w:color w:val="000000" w:themeColor="text1"/>
        </w:rPr>
        <w:t>Table S</w:t>
      </w:r>
      <w:r w:rsidR="00B9491E" w:rsidRPr="00B9491E">
        <w:rPr>
          <w:rFonts w:ascii="Times New Roman" w:hAnsi="Times New Roman" w:cs="Times New Roman"/>
          <w:noProof/>
          <w:color w:val="000000" w:themeColor="text1"/>
        </w:rPr>
        <w:t>4</w:t>
      </w:r>
      <w:r w:rsidR="00B9491E" w:rsidRPr="00B9491E">
        <w:rPr>
          <w:rFonts w:ascii="Times New Roman" w:hAnsi="Times New Roman" w:cs="Times New Roman"/>
        </w:rPr>
        <w:fldChar w:fldCharType="end"/>
      </w:r>
      <w:r w:rsidR="006B6E47">
        <w:rPr>
          <w:rFonts w:ascii="Times New Roman" w:hAnsi="Times New Roman" w:cs="Times New Roman"/>
        </w:rPr>
        <w:t>.</w:t>
      </w:r>
    </w:p>
    <w:p w14:paraId="7F66D307" w14:textId="6FEBFF47" w:rsidR="00B9491E" w:rsidRPr="00B9491E" w:rsidRDefault="00B9491E" w:rsidP="00B9491E">
      <w:pPr>
        <w:pStyle w:val="Caption"/>
        <w:keepNext/>
        <w:spacing w:after="0"/>
        <w:ind w:firstLine="0"/>
        <w:rPr>
          <w:color w:val="000000" w:themeColor="text1"/>
          <w:sz w:val="24"/>
          <w:szCs w:val="24"/>
        </w:rPr>
      </w:pPr>
      <w:bookmarkStart w:id="8" w:name="_Ref128320657"/>
      <w:r w:rsidRPr="00B9491E">
        <w:rPr>
          <w:color w:val="000000" w:themeColor="text1"/>
          <w:sz w:val="24"/>
          <w:szCs w:val="24"/>
        </w:rPr>
        <w:t xml:space="preserve">Table </w:t>
      </w:r>
      <w:r>
        <w:rPr>
          <w:color w:val="000000" w:themeColor="text1"/>
          <w:sz w:val="24"/>
          <w:szCs w:val="24"/>
        </w:rPr>
        <w:t>S</w:t>
      </w:r>
      <w:r w:rsidRPr="00B9491E">
        <w:rPr>
          <w:color w:val="000000" w:themeColor="text1"/>
          <w:sz w:val="24"/>
          <w:szCs w:val="24"/>
        </w:rPr>
        <w:fldChar w:fldCharType="begin"/>
      </w:r>
      <w:r w:rsidRPr="00B9491E">
        <w:rPr>
          <w:color w:val="000000" w:themeColor="text1"/>
          <w:sz w:val="24"/>
          <w:szCs w:val="24"/>
        </w:rPr>
        <w:instrText xml:space="preserve"> SEQ Table \* ARABIC </w:instrText>
      </w:r>
      <w:r w:rsidRPr="00B9491E">
        <w:rPr>
          <w:color w:val="000000" w:themeColor="text1"/>
          <w:sz w:val="24"/>
          <w:szCs w:val="24"/>
        </w:rPr>
        <w:fldChar w:fldCharType="separate"/>
      </w:r>
      <w:r w:rsidRPr="00B9491E">
        <w:rPr>
          <w:noProof/>
          <w:color w:val="000000" w:themeColor="text1"/>
          <w:sz w:val="24"/>
          <w:szCs w:val="24"/>
        </w:rPr>
        <w:t>4</w:t>
      </w:r>
      <w:r w:rsidRPr="00B9491E">
        <w:rPr>
          <w:color w:val="000000" w:themeColor="text1"/>
          <w:sz w:val="24"/>
          <w:szCs w:val="24"/>
        </w:rPr>
        <w:fldChar w:fldCharType="end"/>
      </w:r>
      <w:bookmarkEnd w:id="8"/>
      <w:r w:rsidRPr="00B9491E">
        <w:rPr>
          <w:color w:val="000000" w:themeColor="text1"/>
          <w:sz w:val="24"/>
          <w:szCs w:val="24"/>
        </w:rPr>
        <w:t xml:space="preserve"> </w:t>
      </w:r>
      <w:r w:rsidRPr="00B9491E">
        <w:rPr>
          <w:i w:val="0"/>
          <w:iCs w:val="0"/>
          <w:color w:val="000000" w:themeColor="text1"/>
          <w:sz w:val="24"/>
          <w:szCs w:val="24"/>
        </w:rPr>
        <w:t xml:space="preserve">Thermodynamic parameters to calculate </w:t>
      </w:r>
      <w:r>
        <w:rPr>
          <w:i w:val="0"/>
          <w:iCs w:val="0"/>
          <w:color w:val="000000" w:themeColor="text1"/>
          <w:sz w:val="24"/>
          <w:szCs w:val="24"/>
        </w:rPr>
        <w:t xml:space="preserve">the </w:t>
      </w:r>
      <w:r w:rsidRPr="00B9491E">
        <w:rPr>
          <w:i w:val="0"/>
          <w:iCs w:val="0"/>
          <w:color w:val="000000" w:themeColor="text1"/>
          <w:sz w:val="24"/>
          <w:szCs w:val="24"/>
        </w:rPr>
        <w:t xml:space="preserve">solubility </w:t>
      </w:r>
      <w:r>
        <w:rPr>
          <w:i w:val="0"/>
          <w:iCs w:val="0"/>
          <w:color w:val="000000" w:themeColor="text1"/>
          <w:sz w:val="24"/>
          <w:szCs w:val="24"/>
        </w:rPr>
        <w:t>of reduced C-O-H species in</w:t>
      </w:r>
      <w:r w:rsidRPr="00B9491E">
        <w:rPr>
          <w:i w:val="0"/>
          <w:iCs w:val="0"/>
          <w:color w:val="000000" w:themeColor="text1"/>
          <w:sz w:val="24"/>
          <w:szCs w:val="24"/>
        </w:rPr>
        <w:t xml:space="preserve"> different melt compositions.</w:t>
      </w:r>
    </w:p>
    <w:tbl>
      <w:tblPr>
        <w:tblStyle w:val="TableGrid"/>
        <w:tblW w:w="0" w:type="auto"/>
        <w:jc w:val="center"/>
        <w:tblLook w:val="04A0" w:firstRow="1" w:lastRow="0" w:firstColumn="1" w:lastColumn="0" w:noHBand="0" w:noVBand="1"/>
      </w:tblPr>
      <w:tblGrid>
        <w:gridCol w:w="951"/>
        <w:gridCol w:w="1457"/>
        <w:gridCol w:w="1556"/>
        <w:gridCol w:w="993"/>
        <w:gridCol w:w="4059"/>
      </w:tblGrid>
      <w:tr w:rsidR="00B9491E" w14:paraId="25D85529" w14:textId="77777777" w:rsidTr="00FE3EF0">
        <w:trPr>
          <w:jc w:val="center"/>
        </w:trPr>
        <w:tc>
          <w:tcPr>
            <w:tcW w:w="951" w:type="dxa"/>
          </w:tcPr>
          <w:p w14:paraId="623E3F26" w14:textId="122EDCCC" w:rsidR="00B9491E" w:rsidRDefault="00B9491E" w:rsidP="00B9491E">
            <w:pPr>
              <w:jc w:val="center"/>
              <w:rPr>
                <w:rFonts w:ascii="Times New Roman" w:hAnsi="Times New Roman" w:cs="Times New Roman"/>
              </w:rPr>
            </w:pPr>
            <w:r>
              <w:rPr>
                <w:rFonts w:ascii="Times New Roman" w:hAnsi="Times New Roman" w:cs="Times New Roman"/>
              </w:rPr>
              <w:t>Species</w:t>
            </w:r>
          </w:p>
        </w:tc>
        <w:tc>
          <w:tcPr>
            <w:tcW w:w="1457" w:type="dxa"/>
          </w:tcPr>
          <w:p w14:paraId="09098C3E" w14:textId="45DE3FC7" w:rsidR="00B9491E" w:rsidRDefault="00B9491E" w:rsidP="00B9491E">
            <w:pPr>
              <w:jc w:val="center"/>
              <w:rPr>
                <w:rFonts w:ascii="Times New Roman" w:hAnsi="Times New Roman" w:cs="Times New Roman"/>
              </w:rPr>
            </w:pPr>
            <w:r>
              <w:rPr>
                <w:rFonts w:ascii="Times New Roman" w:hAnsi="Times New Roman" w:cs="Times New Roman"/>
              </w:rPr>
              <w:t>Composition</w:t>
            </w:r>
          </w:p>
        </w:tc>
        <w:tc>
          <w:tcPr>
            <w:tcW w:w="1556" w:type="dxa"/>
          </w:tcPr>
          <w:p w14:paraId="4E55EE87" w14:textId="71510203" w:rsidR="00B9491E" w:rsidRDefault="00B9491E" w:rsidP="00B9491E">
            <w:pPr>
              <w:jc w:val="center"/>
              <w:rPr>
                <w:rFonts w:ascii="Times New Roman" w:hAnsi="Times New Roman" w:cs="Times New Roman"/>
              </w:rPr>
            </w:pPr>
            <w:r w:rsidRPr="00B67966">
              <w:rPr>
                <w:rFonts w:ascii="Times New Roman" w:eastAsiaTheme="minorEastAsia" w:hAnsi="Times New Roman" w:cs="Times New Roman"/>
                <w:iCs/>
              </w:rPr>
              <w:t>Δ</w:t>
            </w:r>
            <w:r w:rsidRPr="00B016E9">
              <w:rPr>
                <w:rFonts w:ascii="Times New Roman" w:eastAsiaTheme="minorEastAsia" w:hAnsi="Times New Roman" w:cs="Times New Roman"/>
                <w:i/>
              </w:rPr>
              <w:t>V</w:t>
            </w:r>
            <w:r>
              <w:rPr>
                <w:rFonts w:ascii="Times New Roman" w:eastAsiaTheme="minorEastAsia" w:hAnsi="Times New Roman" w:cs="Times New Roman"/>
              </w:rPr>
              <w:t xml:space="preserve"> (</w:t>
            </w:r>
            <w:r>
              <w:rPr>
                <w:rFonts w:ascii="Times New Roman" w:eastAsiaTheme="minorEastAsia" w:hAnsi="Times New Roman" w:cs="Times New Roman"/>
                <w:iCs/>
              </w:rPr>
              <w:t>cm</w:t>
            </w:r>
            <w:r w:rsidRPr="0010091A">
              <w:rPr>
                <w:rFonts w:ascii="Times New Roman" w:eastAsiaTheme="minorEastAsia" w:hAnsi="Times New Roman" w:cs="Times New Roman"/>
                <w:iCs/>
                <w:vertAlign w:val="superscript"/>
              </w:rPr>
              <w:t>3</w:t>
            </w:r>
            <w:r>
              <w:rPr>
                <w:rFonts w:ascii="Times New Roman" w:eastAsiaTheme="minorEastAsia" w:hAnsi="Times New Roman" w:cs="Times New Roman"/>
                <w:iCs/>
              </w:rPr>
              <w:t>/mol)</w:t>
            </w:r>
          </w:p>
        </w:tc>
        <w:tc>
          <w:tcPr>
            <w:tcW w:w="993" w:type="dxa"/>
          </w:tcPr>
          <w:p w14:paraId="51ACA03C" w14:textId="4BC72859" w:rsidR="00B9491E" w:rsidRDefault="00B9491E" w:rsidP="00B9491E">
            <w:pPr>
              <w:jc w:val="center"/>
              <w:rPr>
                <w:rFonts w:ascii="Times New Roman" w:hAnsi="Times New Roman" w:cs="Times New Roman"/>
              </w:rPr>
            </w:pPr>
            <w:r>
              <w:rPr>
                <w:rFonts w:ascii="Times New Roman" w:eastAsiaTheme="minorEastAsia" w:hAnsi="Times New Roman" w:cs="Times New Roman"/>
                <w:iCs/>
              </w:rPr>
              <w:t>ln</w:t>
            </w:r>
            <w:r w:rsidRPr="00B67966">
              <w:rPr>
                <w:rFonts w:ascii="Times New Roman" w:eastAsiaTheme="minorEastAsia" w:hAnsi="Times New Roman" w:cs="Times New Roman"/>
                <w:i/>
              </w:rPr>
              <w:t>K</w:t>
            </w:r>
            <w:r w:rsidRPr="00B67966">
              <w:rPr>
                <w:rFonts w:ascii="Times New Roman" w:eastAsiaTheme="minorEastAsia" w:hAnsi="Times New Roman" w:cs="Times New Roman"/>
                <w:iCs/>
                <w:vertAlign w:val="subscript"/>
              </w:rPr>
              <w:t>0</w:t>
            </w:r>
          </w:p>
        </w:tc>
        <w:tc>
          <w:tcPr>
            <w:tcW w:w="4059" w:type="dxa"/>
          </w:tcPr>
          <w:p w14:paraId="668C0CEA" w14:textId="49D9DB82" w:rsidR="00B9491E" w:rsidRDefault="00B9491E" w:rsidP="00B9491E">
            <w:pPr>
              <w:jc w:val="center"/>
              <w:rPr>
                <w:rFonts w:ascii="Times New Roman" w:hAnsi="Times New Roman" w:cs="Times New Roman"/>
              </w:rPr>
            </w:pPr>
            <w:r>
              <w:rPr>
                <w:rFonts w:ascii="Times New Roman" w:eastAsiaTheme="minorEastAsia" w:hAnsi="Times New Roman" w:cs="Times New Roman"/>
                <w:iCs/>
              </w:rPr>
              <w:t>References</w:t>
            </w:r>
          </w:p>
        </w:tc>
      </w:tr>
      <w:tr w:rsidR="00B9491E" w14:paraId="61E67639" w14:textId="77777777" w:rsidTr="00F4448F">
        <w:trPr>
          <w:jc w:val="center"/>
        </w:trPr>
        <w:tc>
          <w:tcPr>
            <w:tcW w:w="951" w:type="dxa"/>
            <w:tcBorders>
              <w:bottom w:val="nil"/>
            </w:tcBorders>
          </w:tcPr>
          <w:p w14:paraId="68C2E726" w14:textId="53E29000" w:rsidR="00B9491E" w:rsidRDefault="00FE3EF0" w:rsidP="00B9491E">
            <w:pPr>
              <w:jc w:val="both"/>
              <w:rPr>
                <w:rFonts w:ascii="Times New Roman" w:hAnsi="Times New Roman" w:cs="Times New Roman"/>
              </w:rPr>
            </w:pPr>
            <w:r>
              <w:rPr>
                <w:rFonts w:ascii="Times New Roman" w:hAnsi="Times New Roman" w:cs="Times New Roman"/>
              </w:rPr>
              <w:t>H</w:t>
            </w:r>
            <w:proofErr w:type="gramStart"/>
            <w:r w:rsidRPr="00FE3EF0">
              <w:rPr>
                <w:rFonts w:ascii="Times New Roman" w:hAnsi="Times New Roman" w:cs="Times New Roman"/>
                <w:vertAlign w:val="subscript"/>
              </w:rPr>
              <w:t>2,mol</w:t>
            </w:r>
            <w:proofErr w:type="gramEnd"/>
          </w:p>
        </w:tc>
        <w:tc>
          <w:tcPr>
            <w:tcW w:w="1457" w:type="dxa"/>
            <w:tcBorders>
              <w:bottom w:val="nil"/>
            </w:tcBorders>
          </w:tcPr>
          <w:p w14:paraId="182A7A78" w14:textId="019C27E7" w:rsidR="00B9491E" w:rsidRDefault="00FE3EF0" w:rsidP="00B9491E">
            <w:pPr>
              <w:jc w:val="both"/>
              <w:rPr>
                <w:rFonts w:ascii="Times New Roman" w:hAnsi="Times New Roman" w:cs="Times New Roman"/>
              </w:rPr>
            </w:pPr>
            <w:r>
              <w:rPr>
                <w:rFonts w:ascii="Times New Roman" w:hAnsi="Times New Roman" w:cs="Times New Roman"/>
              </w:rPr>
              <w:t>Basalt</w:t>
            </w:r>
          </w:p>
        </w:tc>
        <w:tc>
          <w:tcPr>
            <w:tcW w:w="1556" w:type="dxa"/>
            <w:tcBorders>
              <w:bottom w:val="nil"/>
            </w:tcBorders>
          </w:tcPr>
          <w:p w14:paraId="30A90305" w14:textId="6505C13F" w:rsidR="00B9491E" w:rsidRPr="00B67966"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10.6</w:t>
            </w:r>
          </w:p>
        </w:tc>
        <w:tc>
          <w:tcPr>
            <w:tcW w:w="993" w:type="dxa"/>
            <w:tcBorders>
              <w:bottom w:val="nil"/>
            </w:tcBorders>
          </w:tcPr>
          <w:p w14:paraId="5EE59DD9" w14:textId="5EAB524F" w:rsidR="00B9491E"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-0.9624</w:t>
            </w:r>
          </w:p>
        </w:tc>
        <w:tc>
          <w:tcPr>
            <w:tcW w:w="4059" w:type="dxa"/>
            <w:tcBorders>
              <w:bottom w:val="nil"/>
            </w:tcBorders>
          </w:tcPr>
          <w:p w14:paraId="29E56F2A" w14:textId="2DE56DF2" w:rsidR="00B9491E" w:rsidRDefault="00FE3EF0" w:rsidP="00B9491E">
            <w:pPr>
              <w:jc w:val="both"/>
              <w:rPr>
                <w:rFonts w:ascii="Times New Roman" w:eastAsiaTheme="minorEastAsia" w:hAnsi="Times New Roman" w:cs="Times New Roman"/>
                <w:iCs/>
              </w:rPr>
            </w:pPr>
            <w:r w:rsidRPr="00F92A05">
              <w:rPr>
                <w:rFonts w:ascii="Times New Roman" w:hAnsi="Times New Roman"/>
                <w:noProof/>
              </w:rPr>
              <w:t xml:space="preserve">Hirschmann et al. </w:t>
            </w:r>
            <w:r>
              <w:rPr>
                <w:rFonts w:ascii="Times New Roman" w:hAnsi="Times New Roman"/>
                <w:noProof/>
              </w:rPr>
              <w:t>(</w:t>
            </w:r>
            <w:r w:rsidRPr="00F92A05">
              <w:rPr>
                <w:rFonts w:ascii="Times New Roman" w:hAnsi="Times New Roman"/>
                <w:noProof/>
              </w:rPr>
              <w:t>2012</w:t>
            </w:r>
            <w:r>
              <w:rPr>
                <w:rFonts w:ascii="Times New Roman" w:hAnsi="Times New Roman"/>
                <w:noProof/>
              </w:rPr>
              <w:t>)</w:t>
            </w:r>
          </w:p>
        </w:tc>
      </w:tr>
      <w:tr w:rsidR="00FE3EF0" w14:paraId="2C47A0DA" w14:textId="77777777" w:rsidTr="00F4448F">
        <w:trPr>
          <w:jc w:val="center"/>
        </w:trPr>
        <w:tc>
          <w:tcPr>
            <w:tcW w:w="951" w:type="dxa"/>
            <w:tcBorders>
              <w:top w:val="nil"/>
              <w:bottom w:val="nil"/>
            </w:tcBorders>
          </w:tcPr>
          <w:p w14:paraId="3A4814E2" w14:textId="52F28989" w:rsidR="00FE3EF0" w:rsidRDefault="00FE3EF0" w:rsidP="00B9491E">
            <w:pPr>
              <w:jc w:val="both"/>
              <w:rPr>
                <w:rFonts w:ascii="Times New Roman" w:hAnsi="Times New Roman" w:cs="Times New Roman"/>
              </w:rPr>
            </w:pPr>
            <w:r>
              <w:rPr>
                <w:rFonts w:ascii="Times New Roman" w:hAnsi="Times New Roman" w:cs="Times New Roman"/>
              </w:rPr>
              <w:t>H</w:t>
            </w:r>
            <w:proofErr w:type="gramStart"/>
            <w:r w:rsidRPr="002B6670">
              <w:rPr>
                <w:rFonts w:ascii="Times New Roman" w:hAnsi="Times New Roman" w:cs="Times New Roman"/>
                <w:vertAlign w:val="subscript"/>
              </w:rPr>
              <w:t>2,mol</w:t>
            </w:r>
            <w:proofErr w:type="gramEnd"/>
          </w:p>
        </w:tc>
        <w:tc>
          <w:tcPr>
            <w:tcW w:w="1457" w:type="dxa"/>
            <w:tcBorders>
              <w:top w:val="nil"/>
              <w:bottom w:val="nil"/>
            </w:tcBorders>
          </w:tcPr>
          <w:p w14:paraId="7A5600BC" w14:textId="5F3B5EC7" w:rsidR="00FE3EF0" w:rsidRDefault="00FE3EF0" w:rsidP="00B9491E">
            <w:pPr>
              <w:jc w:val="both"/>
              <w:rPr>
                <w:rFonts w:ascii="Times New Roman" w:hAnsi="Times New Roman" w:cs="Times New Roman"/>
              </w:rPr>
            </w:pPr>
            <w:r>
              <w:rPr>
                <w:rFonts w:ascii="Times New Roman" w:hAnsi="Times New Roman" w:cs="Times New Roman"/>
              </w:rPr>
              <w:t>Andesite</w:t>
            </w:r>
          </w:p>
        </w:tc>
        <w:tc>
          <w:tcPr>
            <w:tcW w:w="1556" w:type="dxa"/>
            <w:tcBorders>
              <w:top w:val="nil"/>
              <w:bottom w:val="nil"/>
            </w:tcBorders>
          </w:tcPr>
          <w:p w14:paraId="506715F2" w14:textId="443C0E32" w:rsidR="00FE3EF0" w:rsidRPr="00B67966"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11.3</w:t>
            </w:r>
          </w:p>
        </w:tc>
        <w:tc>
          <w:tcPr>
            <w:tcW w:w="993" w:type="dxa"/>
            <w:tcBorders>
              <w:top w:val="nil"/>
              <w:bottom w:val="nil"/>
            </w:tcBorders>
          </w:tcPr>
          <w:p w14:paraId="1DC1C340" w14:textId="0980BAF5" w:rsidR="00FE3EF0"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-0.1296</w:t>
            </w:r>
          </w:p>
        </w:tc>
        <w:tc>
          <w:tcPr>
            <w:tcW w:w="4059" w:type="dxa"/>
            <w:tcBorders>
              <w:top w:val="nil"/>
              <w:bottom w:val="nil"/>
            </w:tcBorders>
          </w:tcPr>
          <w:p w14:paraId="2D6C3C07" w14:textId="19A7BE2B" w:rsidR="00FE3EF0" w:rsidRDefault="00FE3EF0" w:rsidP="00B9491E">
            <w:pPr>
              <w:jc w:val="both"/>
              <w:rPr>
                <w:rFonts w:ascii="Times New Roman" w:eastAsiaTheme="minorEastAsia" w:hAnsi="Times New Roman" w:cs="Times New Roman"/>
                <w:iCs/>
              </w:rPr>
            </w:pPr>
            <w:r w:rsidRPr="00F92A05">
              <w:rPr>
                <w:rFonts w:ascii="Times New Roman" w:hAnsi="Times New Roman"/>
                <w:noProof/>
              </w:rPr>
              <w:t xml:space="preserve">Hirschmann et al. </w:t>
            </w:r>
            <w:r>
              <w:rPr>
                <w:rFonts w:ascii="Times New Roman" w:hAnsi="Times New Roman"/>
                <w:noProof/>
              </w:rPr>
              <w:t>(</w:t>
            </w:r>
            <w:r w:rsidRPr="00F92A05">
              <w:rPr>
                <w:rFonts w:ascii="Times New Roman" w:hAnsi="Times New Roman"/>
                <w:noProof/>
              </w:rPr>
              <w:t>2012</w:t>
            </w:r>
            <w:r>
              <w:rPr>
                <w:rFonts w:ascii="Times New Roman" w:hAnsi="Times New Roman"/>
                <w:noProof/>
              </w:rPr>
              <w:t>)</w:t>
            </w:r>
          </w:p>
        </w:tc>
      </w:tr>
      <w:tr w:rsidR="00FE3EF0" w14:paraId="5180B81F" w14:textId="77777777" w:rsidTr="00F4448F">
        <w:trPr>
          <w:jc w:val="center"/>
        </w:trPr>
        <w:tc>
          <w:tcPr>
            <w:tcW w:w="951" w:type="dxa"/>
            <w:tcBorders>
              <w:top w:val="nil"/>
              <w:bottom w:val="nil"/>
            </w:tcBorders>
          </w:tcPr>
          <w:p w14:paraId="6289FD83" w14:textId="61849C31" w:rsidR="00FE3EF0" w:rsidRDefault="00FE3EF0" w:rsidP="00B9491E">
            <w:pPr>
              <w:jc w:val="both"/>
              <w:rPr>
                <w:rFonts w:ascii="Times New Roman" w:hAnsi="Times New Roman" w:cs="Times New Roman"/>
              </w:rPr>
            </w:pPr>
            <w:proofErr w:type="spellStart"/>
            <w:r>
              <w:rPr>
                <w:rFonts w:ascii="Times New Roman" w:hAnsi="Times New Roman" w:cs="Times New Roman"/>
              </w:rPr>
              <w:t>CO</w:t>
            </w:r>
            <w:r w:rsidRPr="002B6670">
              <w:rPr>
                <w:rFonts w:ascii="Times New Roman" w:hAnsi="Times New Roman" w:cs="Times New Roman"/>
                <w:vertAlign w:val="subscript"/>
              </w:rPr>
              <w:t>mol</w:t>
            </w:r>
            <w:proofErr w:type="spellEnd"/>
          </w:p>
        </w:tc>
        <w:tc>
          <w:tcPr>
            <w:tcW w:w="1457" w:type="dxa"/>
            <w:tcBorders>
              <w:top w:val="nil"/>
              <w:bottom w:val="nil"/>
            </w:tcBorders>
          </w:tcPr>
          <w:p w14:paraId="62CF773C" w14:textId="42BD43F7" w:rsidR="00FE3EF0" w:rsidRDefault="00FE3EF0" w:rsidP="00B9491E">
            <w:pPr>
              <w:jc w:val="both"/>
              <w:rPr>
                <w:rFonts w:ascii="Times New Roman" w:hAnsi="Times New Roman" w:cs="Times New Roman"/>
              </w:rPr>
            </w:pPr>
            <w:r>
              <w:rPr>
                <w:rFonts w:ascii="Times New Roman" w:hAnsi="Times New Roman" w:cs="Times New Roman"/>
              </w:rPr>
              <w:t>Basalt</w:t>
            </w:r>
          </w:p>
        </w:tc>
        <w:tc>
          <w:tcPr>
            <w:tcW w:w="1556" w:type="dxa"/>
            <w:tcBorders>
              <w:top w:val="nil"/>
              <w:bottom w:val="nil"/>
            </w:tcBorders>
          </w:tcPr>
          <w:p w14:paraId="4C1E212C" w14:textId="63E6F020" w:rsidR="00FE3EF0" w:rsidRPr="00B67966"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15.2</w:t>
            </w:r>
          </w:p>
        </w:tc>
        <w:tc>
          <w:tcPr>
            <w:tcW w:w="993" w:type="dxa"/>
            <w:tcBorders>
              <w:top w:val="nil"/>
              <w:bottom w:val="nil"/>
            </w:tcBorders>
          </w:tcPr>
          <w:p w14:paraId="3AEB6FCC" w14:textId="7687C45F" w:rsidR="00FE3EF0"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-2.11</w:t>
            </w:r>
          </w:p>
        </w:tc>
        <w:tc>
          <w:tcPr>
            <w:tcW w:w="4059" w:type="dxa"/>
            <w:tcBorders>
              <w:top w:val="nil"/>
              <w:bottom w:val="nil"/>
            </w:tcBorders>
          </w:tcPr>
          <w:p w14:paraId="752CC4A4" w14:textId="46A11D14" w:rsidR="00FE3EF0" w:rsidRDefault="00FE3EF0" w:rsidP="00B9491E">
            <w:pPr>
              <w:jc w:val="both"/>
              <w:rPr>
                <w:rFonts w:ascii="Times New Roman" w:eastAsiaTheme="minorEastAsia" w:hAnsi="Times New Roman" w:cs="Times New Roman"/>
                <w:iCs/>
              </w:rPr>
            </w:pPr>
            <w:r w:rsidRPr="00FB6650">
              <w:rPr>
                <w:rFonts w:ascii="Times New Roman" w:hAnsi="Times New Roman"/>
                <w:noProof/>
              </w:rPr>
              <w:t xml:space="preserve">Armstrong et al. </w:t>
            </w:r>
            <w:r>
              <w:rPr>
                <w:rFonts w:ascii="Times New Roman" w:hAnsi="Times New Roman"/>
                <w:noProof/>
              </w:rPr>
              <w:t>(</w:t>
            </w:r>
            <w:r w:rsidRPr="00FB6650">
              <w:rPr>
                <w:rFonts w:ascii="Times New Roman" w:hAnsi="Times New Roman"/>
                <w:noProof/>
              </w:rPr>
              <w:t>2015</w:t>
            </w:r>
            <w:r>
              <w:rPr>
                <w:rFonts w:ascii="Times New Roman" w:hAnsi="Times New Roman"/>
                <w:noProof/>
              </w:rPr>
              <w:t>)</w:t>
            </w:r>
            <w:r w:rsidRPr="00FB6650">
              <w:rPr>
                <w:rFonts w:ascii="Times New Roman" w:hAnsi="Times New Roman"/>
                <w:noProof/>
              </w:rPr>
              <w:t xml:space="preserve">; Stanley et al., </w:t>
            </w:r>
            <w:r>
              <w:rPr>
                <w:rFonts w:ascii="Times New Roman" w:hAnsi="Times New Roman"/>
                <w:noProof/>
              </w:rPr>
              <w:t>(</w:t>
            </w:r>
            <w:r w:rsidRPr="00FB6650">
              <w:rPr>
                <w:rFonts w:ascii="Times New Roman" w:hAnsi="Times New Roman"/>
                <w:noProof/>
              </w:rPr>
              <w:t>2014</w:t>
            </w:r>
            <w:r>
              <w:rPr>
                <w:rFonts w:ascii="Times New Roman" w:hAnsi="Times New Roman"/>
                <w:noProof/>
              </w:rPr>
              <w:t>)</w:t>
            </w:r>
            <w:r w:rsidRPr="00FB6650">
              <w:rPr>
                <w:rFonts w:ascii="Times New Roman" w:hAnsi="Times New Roman"/>
                <w:noProof/>
              </w:rPr>
              <w:t xml:space="preserve">; Wetzel et al., </w:t>
            </w:r>
            <w:r>
              <w:rPr>
                <w:rFonts w:ascii="Times New Roman" w:hAnsi="Times New Roman"/>
                <w:noProof/>
              </w:rPr>
              <w:t>(</w:t>
            </w:r>
            <w:r w:rsidRPr="00FB6650">
              <w:rPr>
                <w:rFonts w:ascii="Times New Roman" w:hAnsi="Times New Roman"/>
                <w:noProof/>
              </w:rPr>
              <w:t>2013</w:t>
            </w:r>
            <w:r>
              <w:rPr>
                <w:rFonts w:ascii="Times New Roman" w:hAnsi="Times New Roman"/>
                <w:noProof/>
              </w:rPr>
              <w:t>)</w:t>
            </w:r>
          </w:p>
        </w:tc>
      </w:tr>
      <w:tr w:rsidR="00FE3EF0" w14:paraId="3DE15960" w14:textId="77777777" w:rsidTr="00F4448F">
        <w:trPr>
          <w:jc w:val="center"/>
        </w:trPr>
        <w:tc>
          <w:tcPr>
            <w:tcW w:w="951" w:type="dxa"/>
            <w:tcBorders>
              <w:top w:val="nil"/>
            </w:tcBorders>
          </w:tcPr>
          <w:p w14:paraId="71354CC3" w14:textId="62495922" w:rsidR="00FE3EF0" w:rsidRDefault="00FE3EF0" w:rsidP="00B9491E">
            <w:pPr>
              <w:jc w:val="both"/>
              <w:rPr>
                <w:rFonts w:ascii="Times New Roman" w:hAnsi="Times New Roman" w:cs="Times New Roman"/>
              </w:rPr>
            </w:pPr>
            <w:r>
              <w:rPr>
                <w:rFonts w:ascii="Times New Roman" w:hAnsi="Times New Roman" w:cs="Times New Roman"/>
              </w:rPr>
              <w:t>CH</w:t>
            </w:r>
            <w:proofErr w:type="gramStart"/>
            <w:r>
              <w:rPr>
                <w:rFonts w:ascii="Times New Roman" w:hAnsi="Times New Roman" w:cs="Times New Roman"/>
                <w:vertAlign w:val="subscript"/>
              </w:rPr>
              <w:t>4</w:t>
            </w:r>
            <w:r w:rsidRPr="002B6670">
              <w:rPr>
                <w:rFonts w:ascii="Times New Roman" w:hAnsi="Times New Roman" w:cs="Times New Roman"/>
                <w:vertAlign w:val="subscript"/>
              </w:rPr>
              <w:t>,mol</w:t>
            </w:r>
            <w:proofErr w:type="gramEnd"/>
          </w:p>
        </w:tc>
        <w:tc>
          <w:tcPr>
            <w:tcW w:w="1457" w:type="dxa"/>
            <w:tcBorders>
              <w:top w:val="nil"/>
            </w:tcBorders>
          </w:tcPr>
          <w:p w14:paraId="24CEC130" w14:textId="762ADC8D" w:rsidR="00FE3EF0" w:rsidRDefault="00FE3EF0" w:rsidP="00B9491E">
            <w:pPr>
              <w:jc w:val="both"/>
              <w:rPr>
                <w:rFonts w:ascii="Times New Roman" w:hAnsi="Times New Roman" w:cs="Times New Roman"/>
              </w:rPr>
            </w:pPr>
            <w:r>
              <w:rPr>
                <w:rFonts w:ascii="Times New Roman" w:hAnsi="Times New Roman" w:cs="Times New Roman"/>
              </w:rPr>
              <w:t>Basalt</w:t>
            </w:r>
          </w:p>
        </w:tc>
        <w:tc>
          <w:tcPr>
            <w:tcW w:w="1556" w:type="dxa"/>
            <w:tcBorders>
              <w:top w:val="nil"/>
            </w:tcBorders>
          </w:tcPr>
          <w:p w14:paraId="2AD61B17" w14:textId="7B5A6E9C" w:rsidR="00FE3EF0" w:rsidRPr="00B67966"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26.85</w:t>
            </w:r>
          </w:p>
        </w:tc>
        <w:tc>
          <w:tcPr>
            <w:tcW w:w="993" w:type="dxa"/>
            <w:tcBorders>
              <w:top w:val="nil"/>
            </w:tcBorders>
          </w:tcPr>
          <w:p w14:paraId="72DA1439" w14:textId="32C565E3" w:rsidR="00FE3EF0" w:rsidRDefault="00FE3EF0" w:rsidP="00FE3EF0">
            <w:pPr>
              <w:jc w:val="right"/>
              <w:rPr>
                <w:rFonts w:ascii="Times New Roman" w:eastAsiaTheme="minorEastAsia" w:hAnsi="Times New Roman" w:cs="Times New Roman"/>
                <w:iCs/>
              </w:rPr>
            </w:pPr>
            <w:r>
              <w:rPr>
                <w:rFonts w:ascii="Times New Roman" w:eastAsiaTheme="minorEastAsia" w:hAnsi="Times New Roman" w:cs="Times New Roman"/>
                <w:iCs/>
              </w:rPr>
              <w:t>4.93</w:t>
            </w:r>
          </w:p>
        </w:tc>
        <w:tc>
          <w:tcPr>
            <w:tcW w:w="4059" w:type="dxa"/>
            <w:tcBorders>
              <w:top w:val="nil"/>
            </w:tcBorders>
          </w:tcPr>
          <w:p w14:paraId="3346CADD" w14:textId="64E6D16C" w:rsidR="00FE3EF0" w:rsidRPr="00FE3EF0" w:rsidRDefault="00FE3EF0" w:rsidP="00B9491E">
            <w:pPr>
              <w:jc w:val="both"/>
              <w:rPr>
                <w:rFonts w:ascii="Times New Roman" w:eastAsiaTheme="minorEastAsia" w:hAnsi="Times New Roman" w:cs="Times New Roman"/>
                <w:iCs/>
              </w:rPr>
            </w:pPr>
            <w:r w:rsidRPr="00FE3EF0">
              <w:rPr>
                <w:rFonts w:ascii="Times New Roman" w:hAnsi="Times New Roman" w:cs="Times New Roman"/>
                <w:noProof/>
              </w:rPr>
              <w:t>Ardia et al. (2013)</w:t>
            </w:r>
          </w:p>
        </w:tc>
      </w:tr>
    </w:tbl>
    <w:p w14:paraId="2AC0A291" w14:textId="77777777" w:rsidR="00B9491E" w:rsidRDefault="00B9491E" w:rsidP="0022237F">
      <w:pPr>
        <w:jc w:val="both"/>
        <w:rPr>
          <w:rFonts w:ascii="Times New Roman" w:hAnsi="Times New Roman" w:cs="Times New Roman"/>
        </w:rPr>
      </w:pPr>
    </w:p>
    <w:p w14:paraId="3CF75BAD" w14:textId="0B3CD661" w:rsidR="006B6E47" w:rsidRPr="00931995" w:rsidRDefault="006B6E47" w:rsidP="001D4254">
      <w:pPr>
        <w:jc w:val="both"/>
        <w:rPr>
          <w:rFonts w:ascii="Times New Roman" w:hAnsi="Times New Roman" w:cs="Times New Roman"/>
          <w:color w:val="000000" w:themeColor="text1"/>
        </w:rPr>
      </w:pPr>
      <w:r>
        <w:rPr>
          <w:rFonts w:ascii="Times New Roman" w:hAnsi="Times New Roman" w:cs="Times New Roman"/>
        </w:rPr>
        <w:tab/>
        <w:t>For molecular H</w:t>
      </w:r>
      <w:r w:rsidRPr="00931995">
        <w:rPr>
          <w:rFonts w:ascii="Times New Roman" w:hAnsi="Times New Roman" w:cs="Times New Roman"/>
          <w:vertAlign w:val="subscript"/>
        </w:rPr>
        <w:t>2</w:t>
      </w:r>
      <w:r>
        <w:rPr>
          <w:rFonts w:ascii="Times New Roman" w:hAnsi="Times New Roman" w:cs="Times New Roman"/>
        </w:rPr>
        <w:t>:</w:t>
      </w:r>
    </w:p>
    <w:p w14:paraId="5C8AE367" w14:textId="1B4616BE" w:rsidR="001D4254" w:rsidRPr="005C4DDC" w:rsidRDefault="00063B50" w:rsidP="001D4254">
      <w:pPr>
        <w:jc w:val="both"/>
        <w:rPr>
          <w:i/>
          <w:iCs/>
        </w:rPr>
      </w:pPr>
      <m:oMathPara>
        <m:oMath>
          <m:eqArr>
            <m:eqArrPr>
              <m:maxDist m:val="1"/>
              <m:ctrlPr>
                <w:rPr>
                  <w:rFonts w:ascii="Cambria Math" w:hAnsi="Cambria Math"/>
                  <w:i/>
                </w:rPr>
              </m:ctrlPr>
            </m:eqArr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S22</m:t>
                  </m:r>
                  <m:ctrlPr>
                    <w:rPr>
                      <w:rFonts w:ascii="Cambria Math" w:hAnsi="Cambria Math"/>
                    </w:rPr>
                  </m:ctrlPr>
                </m:e>
              </m:d>
            </m:e>
          </m:eqArr>
        </m:oMath>
      </m:oMathPara>
    </w:p>
    <w:p w14:paraId="5742BBC3" w14:textId="12676218" w:rsidR="001D4254" w:rsidRPr="00C62730" w:rsidRDefault="00063B50" w:rsidP="001D4254">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ub>
                  </m:sSub>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up>
                      <m:r>
                        <w:rPr>
                          <w:rFonts w:ascii="Cambria Math" w:hAnsi="Cambria Math"/>
                        </w:rPr>
                        <m:t>m</m:t>
                      </m:r>
                    </m:sup>
                  </m:sSubSup>
                  <m:sSubSup>
                    <m:sSubSupPr>
                      <m:ctrlPr>
                        <w:rPr>
                          <w:rFonts w:ascii="Cambria Math" w:hAnsi="Cambria Math"/>
                        </w:rPr>
                      </m:ctrlPr>
                    </m:sSubSupPr>
                    <m:e>
                      <m:r>
                        <m:rPr>
                          <m:sty m:val="p"/>
                        </m:rPr>
                        <w:rPr>
                          <w:rFonts w:ascii="Cambria Math" w:hAnsi="Cambria Math"/>
                        </w:rPr>
                        <m:t xml:space="preserve"> </m:t>
                      </m:r>
                      <m:r>
                        <w:rPr>
                          <w:rFonts w:ascii="Cambria Math" w:hAnsi="Cambria Math"/>
                        </w:rPr>
                        <m:t>x</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ub>
                  </m:sSub>
                </m:den>
              </m:f>
              <m:r>
                <m:rPr>
                  <m:sty m:val="p"/>
                </m:rPr>
                <w:rPr>
                  <w:rFonts w:ascii="Cambria Math" w:hAnsi="Cambria Math"/>
                </w:rPr>
                <m:t>,#</m:t>
              </m:r>
              <m:d>
                <m:dPr>
                  <m:ctrlPr>
                    <w:rPr>
                      <w:rFonts w:ascii="Cambria Math" w:hAnsi="Cambria Math"/>
                    </w:rPr>
                  </m:ctrlPr>
                </m:dPr>
                <m:e>
                  <m:r>
                    <m:rPr>
                      <m:sty m:val="p"/>
                    </m:rPr>
                    <w:rPr>
                      <w:rFonts w:ascii="Cambria Math" w:hAnsi="Cambria Math"/>
                    </w:rPr>
                    <m:t>S23</m:t>
                  </m:r>
                </m:e>
              </m:d>
            </m:e>
          </m:eqArr>
        </m:oMath>
      </m:oMathPara>
    </w:p>
    <w:p w14:paraId="18B8B701" w14:textId="0C9086DB" w:rsidR="004F3A35" w:rsidRPr="00C62730" w:rsidRDefault="00063B50" w:rsidP="001D4254">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w</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2,mol</m:t>
                          </m:r>
                        </m:sub>
                      </m:sSub>
                    </m:sub>
                  </m:sSub>
                </m:den>
              </m:f>
              <m:r>
                <m:rPr>
                  <m:sty m:val="p"/>
                </m:rPr>
                <w:rPr>
                  <w:rFonts w:ascii="Cambria Math" w:hAnsi="Cambria Math"/>
                </w:rPr>
                <m:t>.#</m:t>
              </m:r>
              <m:d>
                <m:dPr>
                  <m:ctrlPr>
                    <w:rPr>
                      <w:rFonts w:ascii="Cambria Math" w:hAnsi="Cambria Math"/>
                    </w:rPr>
                  </m:ctrlPr>
                </m:dPr>
                <m:e>
                  <m:r>
                    <m:rPr>
                      <m:sty m:val="p"/>
                    </m:rPr>
                    <w:rPr>
                      <w:rFonts w:ascii="Cambria Math" w:hAnsi="Cambria Math"/>
                    </w:rPr>
                    <m:t>S24</m:t>
                  </m:r>
                </m:e>
              </m:d>
            </m:e>
          </m:eqArr>
        </m:oMath>
      </m:oMathPara>
    </w:p>
    <w:p w14:paraId="33F0E34D" w14:textId="4C148437" w:rsidR="004F3A35" w:rsidRDefault="004F3A35" w:rsidP="004F3A35">
      <w:pPr>
        <w:pStyle w:val="equation"/>
        <w:rPr>
          <w:rFonts w:ascii="Times New Roman" w:hAnsi="Times New Roman"/>
        </w:rPr>
      </w:pPr>
      <w:r>
        <w:t xml:space="preserve">We parameterise </w:t>
      </w:r>
      <w:r w:rsidR="00D84AC5" w:rsidRPr="00D84AC5">
        <w:rPr>
          <w:i/>
          <w:iCs/>
        </w:rPr>
        <w:t>C</w:t>
      </w:r>
      <w:r w:rsidR="00D84AC5" w:rsidRPr="00D84AC5">
        <w:rPr>
          <w:vertAlign w:val="subscript"/>
        </w:rPr>
        <w:t>H2,mol</w:t>
      </w:r>
      <w:r>
        <w:t xml:space="preserve"> using equation (</w:t>
      </w:r>
      <w:r w:rsidR="00D84AC5">
        <w:t>S</w:t>
      </w:r>
      <w:r w:rsidR="00F92A05">
        <w:t>5</w:t>
      </w:r>
      <w:r>
        <w:t xml:space="preserve">) to include the effects of </w:t>
      </w:r>
      <w:r>
        <w:rPr>
          <w:i/>
          <w:iCs/>
        </w:rPr>
        <w:t>P</w:t>
      </w:r>
      <w:r>
        <w:t xml:space="preserve"> with experimental data on a basalt at 1400–1450 </w:t>
      </w:r>
      <w:r w:rsidRPr="00C203DE">
        <w:rPr>
          <w:rFonts w:ascii="Times New Roman" w:hAnsi="Times New Roman"/>
        </w:rPr>
        <w:t>°</w:t>
      </w:r>
      <w:r>
        <w:rPr>
          <w:rFonts w:ascii="Times New Roman" w:hAnsi="Times New Roman"/>
        </w:rPr>
        <w:t xml:space="preserve">C and </w:t>
      </w:r>
      <w:r w:rsidR="00D879C5">
        <w:rPr>
          <w:rFonts w:ascii="Times New Roman" w:hAnsi="Times New Roman"/>
        </w:rPr>
        <w:t>7000</w:t>
      </w:r>
      <w:r>
        <w:rPr>
          <w:rFonts w:ascii="Times New Roman" w:hAnsi="Times New Roman"/>
        </w:rPr>
        <w:t>–</w:t>
      </w:r>
      <w:r w:rsidR="00D879C5">
        <w:rPr>
          <w:rFonts w:ascii="Times New Roman" w:hAnsi="Times New Roman"/>
        </w:rPr>
        <w:t>30000</w:t>
      </w:r>
      <w:r>
        <w:rPr>
          <w:rFonts w:ascii="Times New Roman" w:hAnsi="Times New Roman"/>
        </w:rPr>
        <w:t xml:space="preserve"> bar </w:t>
      </w:r>
      <w:r w:rsidR="00F92A05">
        <w:rPr>
          <w:rFonts w:ascii="Times New Roman" w:hAnsi="Times New Roman"/>
        </w:rPr>
        <w:fldChar w:fldCharType="begin" w:fldLock="1"/>
      </w:r>
      <w:r w:rsidR="00F92A05">
        <w:rPr>
          <w:rFonts w:ascii="Times New Roman" w:hAnsi="Times New Roman"/>
        </w:rPr>
        <w:instrText>ADDIN CSL_CITATION {"citationItems":[{"id":"ITEM-1","itemData":{"DOI":"10.1016/J.EPSL.2012.06.031","ISSN":"0012-821X","abstract":"We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Letters","id":"ITEM-1","issued":{"date-parts":[["2012","9","1"]]},"page":"38-48","publisher":"Elsevier","title":"Solubility of molecular hydrogen in silicate melts and consequences for volatile evolution of terrestrial planets","type":"article-journal","volume":"345-348"},"uris":["http://www.mendeley.com/documents/?uuid=0b218f94-363e-373b-aae6-51c0c4c55f42"]}],"mendeley":{"formattedCitation":"(Hirschmann et al., 2012)","manualFormatting":"(Hirschmann et al., 2012; Figure S3)","plainTextFormattedCitation":"(Hirschmann et al., 2012)","previouslyFormattedCitation":"(Hirschmann et al., 2012)"},"properties":{"noteIndex":0},"schema":"https://github.com/citation-style-language/schema/raw/master/csl-citation.json"}</w:instrText>
      </w:r>
      <w:r w:rsidR="00F92A05">
        <w:rPr>
          <w:rFonts w:ascii="Times New Roman" w:hAnsi="Times New Roman"/>
        </w:rPr>
        <w:fldChar w:fldCharType="separate"/>
      </w:r>
      <w:r w:rsidR="00F92A05" w:rsidRPr="00F92A05">
        <w:rPr>
          <w:rFonts w:ascii="Times New Roman" w:hAnsi="Times New Roman"/>
          <w:noProof/>
        </w:rPr>
        <w:t>(Hirschmann et al., 2012</w:t>
      </w:r>
      <w:r w:rsidR="00F92A05">
        <w:rPr>
          <w:rFonts w:ascii="Times New Roman" w:hAnsi="Times New Roman"/>
          <w:noProof/>
        </w:rPr>
        <w:t xml:space="preserve">; </w:t>
      </w:r>
      <w:r w:rsidR="00F92A05">
        <w:rPr>
          <w:rFonts w:ascii="Times New Roman" w:hAnsi="Times New Roman"/>
          <w:noProof/>
        </w:rPr>
        <w:fldChar w:fldCharType="begin" w:fldLock="1"/>
      </w:r>
      <w:r w:rsidR="00F92A05">
        <w:rPr>
          <w:rFonts w:ascii="Times New Roman" w:hAnsi="Times New Roman"/>
          <w:noProof/>
        </w:rPr>
        <w:instrText xml:space="preserve"> REF _Ref127350478 \h </w:instrText>
      </w:r>
      <w:r w:rsidR="00F92A05">
        <w:rPr>
          <w:rFonts w:ascii="Times New Roman" w:hAnsi="Times New Roman"/>
          <w:noProof/>
        </w:rPr>
      </w:r>
      <w:r w:rsidR="00F92A05">
        <w:rPr>
          <w:rFonts w:ascii="Times New Roman" w:hAnsi="Times New Roman"/>
          <w:noProof/>
        </w:rPr>
        <w:fldChar w:fldCharType="separate"/>
      </w:r>
      <w:r w:rsidR="00F92A05" w:rsidRPr="00F92A05">
        <w:rPr>
          <w:rFonts w:ascii="Times New Roman" w:hAnsi="Times New Roman"/>
          <w:noProof/>
          <w:color w:val="000000" w:themeColor="text1"/>
        </w:rPr>
        <w:t>Figure S3</w:t>
      </w:r>
      <w:r w:rsidR="00F92A05">
        <w:rPr>
          <w:rFonts w:ascii="Times New Roman" w:hAnsi="Times New Roman"/>
          <w:noProof/>
        </w:rPr>
        <w:fldChar w:fldCharType="end"/>
      </w:r>
      <w:r w:rsidR="00F92A05" w:rsidRPr="00F92A05">
        <w:rPr>
          <w:rFonts w:ascii="Times New Roman" w:hAnsi="Times New Roman"/>
          <w:noProof/>
        </w:rPr>
        <w:t>)</w:t>
      </w:r>
      <w:r w:rsidR="00F92A05">
        <w:rPr>
          <w:rFonts w:ascii="Times New Roman" w:hAnsi="Times New Roman"/>
        </w:rPr>
        <w:fldChar w:fldCharType="end"/>
      </w:r>
      <w:r w:rsidR="00D879C5">
        <w:rPr>
          <w:rFonts w:ascii="Times New Roman" w:hAnsi="Times New Roman"/>
        </w:rPr>
        <w:t xml:space="preserve">. We use </w:t>
      </w:r>
      <m:oMath>
        <m:r>
          <w:rPr>
            <w:rFonts w:ascii="Cambria Math" w:hAnsi="Cambria Math"/>
          </w:rPr>
          <m:t>∆V</m:t>
        </m:r>
      </m:oMath>
      <w:r w:rsidR="00D879C5">
        <w:rPr>
          <w:rFonts w:ascii="Times New Roman" w:hAnsi="Times New Roman"/>
          <w:iCs/>
        </w:rPr>
        <w:t xml:space="preserve"> = 10.6 cm</w:t>
      </w:r>
      <w:r w:rsidR="00D879C5" w:rsidRPr="000B6300">
        <w:rPr>
          <w:rFonts w:ascii="Times New Roman" w:hAnsi="Times New Roman"/>
          <w:iCs/>
          <w:vertAlign w:val="superscript"/>
        </w:rPr>
        <w:t>3</w:t>
      </w:r>
      <w:r w:rsidR="00D879C5">
        <w:rPr>
          <w:rFonts w:ascii="Times New Roman" w:hAnsi="Times New Roman"/>
          <w:iCs/>
        </w:rPr>
        <w:t xml:space="preserve">/mol from </w:t>
      </w:r>
      <w:r w:rsidR="00F92A05">
        <w:rPr>
          <w:rFonts w:ascii="Times New Roman" w:hAnsi="Times New Roman"/>
        </w:rPr>
        <w:fldChar w:fldCharType="begin" w:fldLock="1"/>
      </w:r>
      <w:r w:rsidR="00F92A05">
        <w:rPr>
          <w:rFonts w:ascii="Times New Roman" w:hAnsi="Times New Roman"/>
        </w:rPr>
        <w:instrText>ADDIN CSL_CITATION {"citationItems":[{"id":"ITEM-1","itemData":{"DOI":"10.1016/J.EPSL.2012.06.031","ISSN":"0012-821X","abstract":"We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Letters","id":"ITEM-1","issued":{"date-parts":[["2012","9","1"]]},"page":"38-48","publisher":"Elsevier","title":"Solubility of molecular hydrogen in silicate melts and consequences for volatile evolution of terrestrial planets","type":"article-journal","volume":"345-348"},"uris":["http://www.mendeley.com/documents/?uuid=0b218f94-363e-373b-aae6-51c0c4c55f42"]}],"mendeley":{"formattedCitation":"(Hirschmann et al., 2012)","manualFormatting":"Hirschmann et al. (2012)","plainTextFormattedCitation":"(Hirschmann et al., 2012)","previouslyFormattedCitation":"(Hirschmann et al., 2012)"},"properties":{"noteIndex":0},"schema":"https://github.com/citation-style-language/schema/raw/master/csl-citation.json"}</w:instrText>
      </w:r>
      <w:r w:rsidR="00F92A05">
        <w:rPr>
          <w:rFonts w:ascii="Times New Roman" w:hAnsi="Times New Roman"/>
        </w:rPr>
        <w:fldChar w:fldCharType="separate"/>
      </w:r>
      <w:r w:rsidR="00F92A05" w:rsidRPr="00F92A05">
        <w:rPr>
          <w:rFonts w:ascii="Times New Roman" w:hAnsi="Times New Roman"/>
          <w:noProof/>
        </w:rPr>
        <w:t xml:space="preserve">Hirschmann et al. </w:t>
      </w:r>
      <w:r w:rsidR="00F92A05">
        <w:rPr>
          <w:rFonts w:ascii="Times New Roman" w:hAnsi="Times New Roman"/>
          <w:noProof/>
        </w:rPr>
        <w:t>(</w:t>
      </w:r>
      <w:r w:rsidR="00F92A05" w:rsidRPr="00F92A05">
        <w:rPr>
          <w:rFonts w:ascii="Times New Roman" w:hAnsi="Times New Roman"/>
          <w:noProof/>
        </w:rPr>
        <w:t>2012)</w:t>
      </w:r>
      <w:r w:rsidR="00F92A05">
        <w:rPr>
          <w:rFonts w:ascii="Times New Roman" w:hAnsi="Times New Roman"/>
        </w:rPr>
        <w:fldChar w:fldCharType="end"/>
      </w:r>
      <w:r>
        <w:rPr>
          <w:rFonts w:ascii="Times New Roman" w:hAnsi="Times New Roman"/>
        </w:rPr>
        <w:t xml:space="preserve"> </w:t>
      </w:r>
      <w:r w:rsidR="00D879C5">
        <w:rPr>
          <w:rFonts w:ascii="Times New Roman" w:hAnsi="Times New Roman"/>
        </w:rPr>
        <w:t>where</w:t>
      </w:r>
      <w:r>
        <w:rPr>
          <w:rFonts w:ascii="Times New Roman" w:hAnsi="Times New Roman"/>
          <w:iCs/>
        </w:rPr>
        <w:t xml:space="preserve"> </w:t>
      </w:r>
      <w:r w:rsidRPr="000B6300">
        <w:rPr>
          <w:rFonts w:ascii="Times New Roman" w:hAnsi="Times New Roman"/>
          <w:i/>
        </w:rPr>
        <w:t>P</w:t>
      </w:r>
      <w:r w:rsidRPr="000B6300">
        <w:rPr>
          <w:rFonts w:ascii="Times New Roman" w:hAnsi="Times New Roman"/>
          <w:iCs/>
          <w:vertAlign w:val="subscript"/>
        </w:rPr>
        <w:t>0</w:t>
      </w:r>
      <w:r>
        <w:rPr>
          <w:rFonts w:ascii="Times New Roman" w:hAnsi="Times New Roman"/>
          <w:iCs/>
        </w:rPr>
        <w:t xml:space="preserve"> = 1 bar; </w:t>
      </w:r>
      <w:r w:rsidR="00D879C5">
        <w:rPr>
          <w:rFonts w:ascii="Times New Roman" w:hAnsi="Times New Roman"/>
          <w:iCs/>
        </w:rPr>
        <w:t xml:space="preserve">but calculate </w:t>
      </w:r>
      <w:r w:rsidR="00D84AC5">
        <w:rPr>
          <w:rFonts w:ascii="Times New Roman" w:hAnsi="Times New Roman"/>
          <w:iCs/>
        </w:rPr>
        <w:t>ln</w:t>
      </w:r>
      <w:r w:rsidR="00D84AC5" w:rsidRPr="00F06C9F">
        <w:rPr>
          <w:rFonts w:ascii="Times New Roman" w:hAnsi="Times New Roman"/>
          <w:i/>
        </w:rPr>
        <w:t>K</w:t>
      </w:r>
      <w:r w:rsidR="00D84AC5" w:rsidRPr="00F06C9F">
        <w:rPr>
          <w:rFonts w:ascii="Times New Roman" w:hAnsi="Times New Roman"/>
          <w:iCs/>
          <w:vertAlign w:val="subscript"/>
        </w:rPr>
        <w:t>0</w:t>
      </w:r>
      <w:r w:rsidR="00D879C5">
        <w:rPr>
          <w:rFonts w:ascii="Times New Roman" w:hAnsi="Times New Roman"/>
          <w:iCs/>
        </w:rPr>
        <w:t xml:space="preserve"> = -0.9624 </w:t>
      </w:r>
      <w:r w:rsidR="00B9491E">
        <w:rPr>
          <w:rFonts w:ascii="Times New Roman" w:hAnsi="Times New Roman"/>
          <w:iCs/>
        </w:rPr>
        <w:t>where</w:t>
      </w:r>
      <w:r>
        <w:rPr>
          <w:rFonts w:ascii="Times New Roman" w:hAnsi="Times New Roman"/>
          <w:iCs/>
        </w:rPr>
        <w:t xml:space="preserve"> </w:t>
      </w:r>
      <w:r w:rsidR="00D879C5">
        <w:rPr>
          <w:rFonts w:ascii="Times New Roman" w:hAnsi="Times New Roman"/>
          <w:iCs/>
        </w:rPr>
        <w:t>H</w:t>
      </w:r>
      <w:r w:rsidR="00D879C5">
        <w:rPr>
          <w:rFonts w:ascii="Times New Roman" w:hAnsi="Times New Roman"/>
          <w:iCs/>
          <w:vertAlign w:val="subscript"/>
        </w:rPr>
        <w:t>2,m</w:t>
      </w:r>
      <w:r w:rsidRPr="000B6300">
        <w:rPr>
          <w:rFonts w:ascii="Times New Roman" w:hAnsi="Times New Roman"/>
          <w:iCs/>
          <w:vertAlign w:val="subscript"/>
        </w:rPr>
        <w:t>ol</w:t>
      </w:r>
      <w:r>
        <w:rPr>
          <w:rFonts w:ascii="Times New Roman" w:hAnsi="Times New Roman"/>
          <w:iCs/>
        </w:rPr>
        <w:t xml:space="preserve"> is in ppm and </w:t>
      </w:r>
      <w:r w:rsidRPr="000B6300">
        <w:rPr>
          <w:rFonts w:ascii="Times New Roman" w:hAnsi="Times New Roman"/>
          <w:i/>
        </w:rPr>
        <w:t>f</w:t>
      </w:r>
      <w:r w:rsidR="00D879C5">
        <w:rPr>
          <w:rFonts w:ascii="Times New Roman" w:hAnsi="Times New Roman"/>
          <w:iCs/>
          <w:vertAlign w:val="subscript"/>
        </w:rPr>
        <w:t>H2</w:t>
      </w:r>
      <w:r>
        <w:rPr>
          <w:rFonts w:ascii="Times New Roman" w:hAnsi="Times New Roman"/>
          <w:iCs/>
        </w:rPr>
        <w:t xml:space="preserve"> is in bar.</w:t>
      </w:r>
      <w:r w:rsidR="00D879C5">
        <w:rPr>
          <w:rFonts w:ascii="Times New Roman" w:hAnsi="Times New Roman"/>
          <w:iCs/>
        </w:rPr>
        <w:t xml:space="preserve"> Values for the andesite composition in the same experimental study have </w:t>
      </w:r>
      <m:oMath>
        <m:r>
          <w:rPr>
            <w:rFonts w:ascii="Cambria Math" w:hAnsi="Cambria Math"/>
          </w:rPr>
          <m:t>∆V</m:t>
        </m:r>
      </m:oMath>
      <w:r w:rsidR="00D879C5">
        <w:rPr>
          <w:rFonts w:ascii="Times New Roman" w:hAnsi="Times New Roman"/>
          <w:iCs/>
        </w:rPr>
        <w:t xml:space="preserve"> = 11.3 cm</w:t>
      </w:r>
      <w:r w:rsidR="00D879C5" w:rsidRPr="000B6300">
        <w:rPr>
          <w:rFonts w:ascii="Times New Roman" w:hAnsi="Times New Roman"/>
          <w:iCs/>
          <w:vertAlign w:val="superscript"/>
        </w:rPr>
        <w:t>3</w:t>
      </w:r>
      <w:r w:rsidR="00D879C5">
        <w:rPr>
          <w:rFonts w:ascii="Times New Roman" w:hAnsi="Times New Roman"/>
          <w:iCs/>
        </w:rPr>
        <w:t xml:space="preserve">/mol </w:t>
      </w:r>
      <w:r w:rsidR="00F92A05">
        <w:rPr>
          <w:rFonts w:ascii="Times New Roman" w:hAnsi="Times New Roman"/>
        </w:rPr>
        <w:fldChar w:fldCharType="begin" w:fldLock="1"/>
      </w:r>
      <w:r w:rsidR="00F92A05">
        <w:rPr>
          <w:rFonts w:ascii="Times New Roman" w:hAnsi="Times New Roman"/>
        </w:rPr>
        <w:instrText>ADDIN CSL_CITATION {"citationItems":[{"id":"ITEM-1","itemData":{"DOI":"10.1016/J.EPSL.2012.06.031","ISSN":"0012-821X","abstract":"We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Letters","id":"ITEM-1","issued":{"date-parts":[["2012","9","1"]]},"page":"38-48","publisher":"Elsevier","title":"Solubility of molecular hydrogen in silicate melts and consequences for volatile evolution of terrestrial planets","type":"article-journal","volume":"345-348"},"uris":["http://www.mendeley.com/documents/?uuid=0b218f94-363e-373b-aae6-51c0c4c55f42"]}],"mendeley":{"formattedCitation":"(Hirschmann et al., 2012)","plainTextFormattedCitation":"(Hirschmann et al., 2012)","previouslyFormattedCitation":"(Hirschmann et al., 2012)"},"properties":{"noteIndex":0},"schema":"https://github.com/citation-style-language/schema/raw/master/csl-citation.json"}</w:instrText>
      </w:r>
      <w:r w:rsidR="00F92A05">
        <w:rPr>
          <w:rFonts w:ascii="Times New Roman" w:hAnsi="Times New Roman"/>
        </w:rPr>
        <w:fldChar w:fldCharType="separate"/>
      </w:r>
      <w:r w:rsidR="00F92A05" w:rsidRPr="00F92A05">
        <w:rPr>
          <w:rFonts w:ascii="Times New Roman" w:hAnsi="Times New Roman"/>
          <w:noProof/>
        </w:rPr>
        <w:t>(Hirschmann et al., 2012)</w:t>
      </w:r>
      <w:r w:rsidR="00F92A05">
        <w:rPr>
          <w:rFonts w:ascii="Times New Roman" w:hAnsi="Times New Roman"/>
        </w:rPr>
        <w:fldChar w:fldCharType="end"/>
      </w:r>
      <w:r w:rsidR="00D879C5">
        <w:rPr>
          <w:rFonts w:ascii="Times New Roman" w:hAnsi="Times New Roman"/>
        </w:rPr>
        <w:t xml:space="preserve"> and</w:t>
      </w:r>
      <w:r w:rsidR="00D879C5">
        <w:rPr>
          <w:rFonts w:ascii="Times New Roman" w:hAnsi="Times New Roman"/>
          <w:iCs/>
        </w:rPr>
        <w:t xml:space="preserve"> </w:t>
      </w:r>
      <w:r w:rsidR="00F06C9F">
        <w:rPr>
          <w:rFonts w:ascii="Times New Roman" w:hAnsi="Times New Roman"/>
          <w:iCs/>
        </w:rPr>
        <w:t>ln</w:t>
      </w:r>
      <w:r w:rsidR="00F06C9F" w:rsidRPr="00F06C9F">
        <w:rPr>
          <w:rFonts w:ascii="Times New Roman" w:hAnsi="Times New Roman"/>
          <w:i/>
        </w:rPr>
        <w:t>K</w:t>
      </w:r>
      <w:r w:rsidR="00F06C9F" w:rsidRPr="00F06C9F">
        <w:rPr>
          <w:rFonts w:ascii="Times New Roman" w:hAnsi="Times New Roman"/>
          <w:iCs/>
          <w:vertAlign w:val="subscript"/>
        </w:rPr>
        <w:t>0</w:t>
      </w:r>
      <w:r w:rsidR="00D879C5">
        <w:rPr>
          <w:rFonts w:ascii="Times New Roman" w:hAnsi="Times New Roman"/>
          <w:iCs/>
        </w:rPr>
        <w:t xml:space="preserve"> = -0.1296. The basalt value is used in the </w:t>
      </w:r>
      <w:r w:rsidR="00F06C9F">
        <w:rPr>
          <w:rFonts w:ascii="Times New Roman" w:hAnsi="Times New Roman"/>
          <w:iCs/>
        </w:rPr>
        <w:t>calculations</w:t>
      </w:r>
      <w:r w:rsidR="00D879C5">
        <w:rPr>
          <w:rFonts w:ascii="Times New Roman" w:hAnsi="Times New Roman"/>
          <w:iCs/>
        </w:rPr>
        <w:t xml:space="preserve"> </w:t>
      </w:r>
      <w:r w:rsidR="00FE3EF0">
        <w:rPr>
          <w:rFonts w:ascii="Times New Roman" w:hAnsi="Times New Roman"/>
          <w:iCs/>
        </w:rPr>
        <w:t>in our</w:t>
      </w:r>
      <w:r w:rsidR="00D879C5">
        <w:rPr>
          <w:rFonts w:ascii="Times New Roman" w:hAnsi="Times New Roman"/>
          <w:iCs/>
        </w:rPr>
        <w:t xml:space="preserve"> study.</w:t>
      </w:r>
    </w:p>
    <w:p w14:paraId="3B4CDE7C" w14:textId="1F5BC2CA" w:rsidR="004F3A35" w:rsidRDefault="00D879C5" w:rsidP="004F3A35">
      <w:pPr>
        <w:pStyle w:val="equation"/>
        <w:keepNext/>
        <w:spacing w:before="0" w:after="0"/>
        <w:jc w:val="center"/>
      </w:pPr>
      <w:r>
        <w:rPr>
          <w:noProof/>
        </w:rPr>
        <w:drawing>
          <wp:inline distT="0" distB="0" distL="0" distR="0" wp14:anchorId="2AA40EE9" wp14:editId="1E4C807F">
            <wp:extent cx="4572000" cy="2755900"/>
            <wp:effectExtent l="0" t="0" r="0" b="0"/>
            <wp:docPr id="22" name="Picture 2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scatt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2000" cy="2755900"/>
                    </a:xfrm>
                    <a:prstGeom prst="rect">
                      <a:avLst/>
                    </a:prstGeom>
                  </pic:spPr>
                </pic:pic>
              </a:graphicData>
            </a:graphic>
          </wp:inline>
        </w:drawing>
      </w:r>
    </w:p>
    <w:p w14:paraId="636BA6F5" w14:textId="313D611F" w:rsidR="004F3A35" w:rsidRPr="004168B8" w:rsidRDefault="004F3A35" w:rsidP="004168B8">
      <w:pPr>
        <w:pStyle w:val="Caption"/>
        <w:ind w:firstLine="0"/>
        <w:rPr>
          <w:rFonts w:ascii="Times New Roman" w:hAnsi="Times New Roman" w:cs="Times New Roman"/>
          <w:i w:val="0"/>
          <w:iCs w:val="0"/>
          <w:color w:val="000000" w:themeColor="text1"/>
          <w:sz w:val="24"/>
          <w:szCs w:val="24"/>
        </w:rPr>
      </w:pPr>
      <w:bookmarkStart w:id="9" w:name="_Ref127350478"/>
      <w:r w:rsidRPr="00F92A05">
        <w:rPr>
          <w:rFonts w:ascii="Times New Roman" w:hAnsi="Times New Roman" w:cs="Times New Roman"/>
          <w:color w:val="000000" w:themeColor="text1"/>
          <w:sz w:val="24"/>
          <w:szCs w:val="24"/>
        </w:rPr>
        <w:t xml:space="preserve">Figure </w:t>
      </w:r>
      <w:r w:rsidR="00736793" w:rsidRPr="00F92A05">
        <w:rPr>
          <w:rFonts w:ascii="Times New Roman" w:hAnsi="Times New Roman" w:cs="Times New Roman"/>
          <w:color w:val="000000" w:themeColor="text1"/>
          <w:sz w:val="24"/>
          <w:szCs w:val="24"/>
        </w:rPr>
        <w:t>S</w:t>
      </w:r>
      <w:r w:rsidRPr="00F92A05">
        <w:rPr>
          <w:rFonts w:ascii="Times New Roman" w:hAnsi="Times New Roman" w:cs="Times New Roman"/>
          <w:color w:val="000000" w:themeColor="text1"/>
          <w:sz w:val="24"/>
          <w:szCs w:val="24"/>
        </w:rPr>
        <w:fldChar w:fldCharType="begin"/>
      </w:r>
      <w:r w:rsidRPr="00F92A05">
        <w:rPr>
          <w:rFonts w:ascii="Times New Roman" w:hAnsi="Times New Roman" w:cs="Times New Roman"/>
          <w:color w:val="000000" w:themeColor="text1"/>
          <w:sz w:val="24"/>
          <w:szCs w:val="24"/>
        </w:rPr>
        <w:instrText xml:space="preserve"> SEQ Figure \* ARABIC </w:instrText>
      </w:r>
      <w:r w:rsidRPr="00F92A05">
        <w:rPr>
          <w:rFonts w:ascii="Times New Roman" w:hAnsi="Times New Roman" w:cs="Times New Roman"/>
          <w:color w:val="000000" w:themeColor="text1"/>
          <w:sz w:val="24"/>
          <w:szCs w:val="24"/>
        </w:rPr>
        <w:fldChar w:fldCharType="separate"/>
      </w:r>
      <w:r w:rsidR="009E5695">
        <w:rPr>
          <w:rFonts w:ascii="Times New Roman" w:hAnsi="Times New Roman" w:cs="Times New Roman"/>
          <w:noProof/>
          <w:color w:val="000000" w:themeColor="text1"/>
          <w:sz w:val="24"/>
          <w:szCs w:val="24"/>
        </w:rPr>
        <w:t>3</w:t>
      </w:r>
      <w:r w:rsidRPr="00F92A05">
        <w:rPr>
          <w:rFonts w:ascii="Times New Roman" w:hAnsi="Times New Roman" w:cs="Times New Roman"/>
          <w:color w:val="000000" w:themeColor="text1"/>
          <w:sz w:val="24"/>
          <w:szCs w:val="24"/>
        </w:rPr>
        <w:fldChar w:fldCharType="end"/>
      </w:r>
      <w:bookmarkEnd w:id="9"/>
      <w:r w:rsidRPr="00F92A05">
        <w:rPr>
          <w:rFonts w:ascii="Times New Roman" w:hAnsi="Times New Roman" w:cs="Times New Roman"/>
          <w:i w:val="0"/>
          <w:iCs w:val="0"/>
          <w:color w:val="000000" w:themeColor="text1"/>
          <w:sz w:val="24"/>
          <w:szCs w:val="24"/>
        </w:rPr>
        <w:t xml:space="preserve"> </w:t>
      </w:r>
      <w:r w:rsidR="00FE3EF0">
        <w:rPr>
          <w:i w:val="0"/>
          <w:iCs w:val="0"/>
          <w:color w:val="000000" w:themeColor="text1"/>
          <w:sz w:val="24"/>
          <w:szCs w:val="24"/>
        </w:rPr>
        <w:t>Fitting</w:t>
      </w:r>
      <w:r w:rsidRPr="00F92A05">
        <w:rPr>
          <w:i w:val="0"/>
          <w:iCs w:val="0"/>
          <w:color w:val="000000" w:themeColor="text1"/>
          <w:sz w:val="24"/>
          <w:szCs w:val="24"/>
        </w:rPr>
        <w:t xml:space="preserve"> the molecular </w:t>
      </w:r>
      <w:r w:rsidR="00D879C5" w:rsidRPr="00F92A05">
        <w:rPr>
          <w:i w:val="0"/>
          <w:iCs w:val="0"/>
          <w:color w:val="000000" w:themeColor="text1"/>
          <w:sz w:val="24"/>
          <w:szCs w:val="24"/>
        </w:rPr>
        <w:t>H</w:t>
      </w:r>
      <w:r w:rsidR="00D879C5" w:rsidRPr="00F92A05">
        <w:rPr>
          <w:i w:val="0"/>
          <w:iCs w:val="0"/>
          <w:color w:val="000000" w:themeColor="text1"/>
          <w:sz w:val="24"/>
          <w:szCs w:val="24"/>
          <w:vertAlign w:val="subscript"/>
        </w:rPr>
        <w:t>2</w:t>
      </w:r>
      <w:r w:rsidRPr="00F92A05">
        <w:rPr>
          <w:i w:val="0"/>
          <w:iCs w:val="0"/>
          <w:color w:val="000000" w:themeColor="text1"/>
          <w:sz w:val="24"/>
          <w:szCs w:val="24"/>
        </w:rPr>
        <w:t xml:space="preserve"> </w:t>
      </w:r>
      <w:r w:rsidR="00FE3EF0">
        <w:rPr>
          <w:i w:val="0"/>
          <w:iCs w:val="0"/>
          <w:color w:val="000000" w:themeColor="text1"/>
          <w:sz w:val="24"/>
          <w:szCs w:val="24"/>
        </w:rPr>
        <w:t>solubility function</w:t>
      </w:r>
      <w:r w:rsidRPr="00F92A05">
        <w:rPr>
          <w:i w:val="0"/>
          <w:iCs w:val="0"/>
          <w:color w:val="000000" w:themeColor="text1"/>
          <w:sz w:val="24"/>
          <w:szCs w:val="24"/>
        </w:rPr>
        <w:t xml:space="preserve"> </w:t>
      </w:r>
      <w:r w:rsidRPr="00F92A05">
        <w:rPr>
          <w:rFonts w:ascii="Times New Roman" w:hAnsi="Times New Roman" w:cs="Times New Roman"/>
          <w:i w:val="0"/>
          <w:iCs w:val="0"/>
          <w:color w:val="000000" w:themeColor="text1"/>
          <w:sz w:val="24"/>
          <w:szCs w:val="24"/>
        </w:rPr>
        <w:t>using equation (</w:t>
      </w:r>
      <w:r w:rsidR="00F06C9F">
        <w:rPr>
          <w:rFonts w:ascii="Times New Roman" w:hAnsi="Times New Roman" w:cs="Times New Roman"/>
          <w:i w:val="0"/>
          <w:iCs w:val="0"/>
          <w:color w:val="000000" w:themeColor="text1"/>
          <w:sz w:val="24"/>
          <w:szCs w:val="24"/>
        </w:rPr>
        <w:t>S</w:t>
      </w:r>
      <w:r w:rsidR="00F92A05">
        <w:rPr>
          <w:rFonts w:ascii="Times New Roman" w:hAnsi="Times New Roman" w:cs="Times New Roman"/>
          <w:i w:val="0"/>
          <w:iCs w:val="0"/>
          <w:color w:val="000000" w:themeColor="text1"/>
          <w:sz w:val="24"/>
          <w:szCs w:val="24"/>
        </w:rPr>
        <w:t>5</w:t>
      </w:r>
      <w:r w:rsidRPr="00F92A05">
        <w:rPr>
          <w:rFonts w:ascii="Times New Roman" w:hAnsi="Times New Roman" w:cs="Times New Roman"/>
          <w:i w:val="0"/>
          <w:iCs w:val="0"/>
          <w:color w:val="000000" w:themeColor="text1"/>
          <w:sz w:val="24"/>
          <w:szCs w:val="24"/>
        </w:rPr>
        <w:t>). Blue</w:t>
      </w:r>
      <w:r w:rsidR="00D879C5" w:rsidRPr="00F92A05">
        <w:rPr>
          <w:rFonts w:ascii="Times New Roman" w:hAnsi="Times New Roman" w:cs="Times New Roman"/>
          <w:i w:val="0"/>
          <w:iCs w:val="0"/>
          <w:color w:val="000000" w:themeColor="text1"/>
          <w:sz w:val="24"/>
          <w:szCs w:val="24"/>
        </w:rPr>
        <w:t xml:space="preserve"> circles</w:t>
      </w:r>
      <w:r w:rsidRPr="00F92A05">
        <w:rPr>
          <w:rFonts w:ascii="Times New Roman" w:hAnsi="Times New Roman" w:cs="Times New Roman"/>
          <w:i w:val="0"/>
          <w:iCs w:val="0"/>
          <w:color w:val="000000" w:themeColor="text1"/>
          <w:sz w:val="24"/>
          <w:szCs w:val="24"/>
        </w:rPr>
        <w:t xml:space="preserve"> are the experimental data </w:t>
      </w:r>
      <w:r w:rsidR="00D879C5" w:rsidRPr="00F92A05">
        <w:rPr>
          <w:rFonts w:ascii="Times New Roman" w:hAnsi="Times New Roman" w:cs="Times New Roman"/>
          <w:i w:val="0"/>
          <w:iCs w:val="0"/>
          <w:color w:val="000000" w:themeColor="text1"/>
          <w:sz w:val="24"/>
          <w:szCs w:val="24"/>
        </w:rPr>
        <w:t xml:space="preserve">on basalt and red squares on andesite </w:t>
      </w:r>
      <w:r w:rsidRPr="00F92A05">
        <w:rPr>
          <w:rFonts w:ascii="Times New Roman" w:hAnsi="Times New Roman" w:cs="Times New Roman"/>
          <w:i w:val="0"/>
          <w:iCs w:val="0"/>
          <w:color w:val="000000" w:themeColor="text1"/>
          <w:sz w:val="24"/>
          <w:szCs w:val="24"/>
        </w:rPr>
        <w:t xml:space="preserve">from </w:t>
      </w:r>
      <w:r w:rsidR="00F92A05" w:rsidRPr="004168B8">
        <w:rPr>
          <w:rFonts w:ascii="Times New Roman" w:hAnsi="Times New Roman"/>
          <w:color w:val="000000" w:themeColor="text1"/>
          <w:sz w:val="24"/>
          <w:szCs w:val="24"/>
        </w:rPr>
        <w:fldChar w:fldCharType="begin" w:fldLock="1"/>
      </w:r>
      <w:r w:rsidR="00F92A05" w:rsidRPr="004168B8">
        <w:rPr>
          <w:rFonts w:ascii="Times New Roman" w:hAnsi="Times New Roman"/>
          <w:color w:val="000000" w:themeColor="text1"/>
          <w:sz w:val="24"/>
          <w:szCs w:val="24"/>
        </w:rPr>
        <w:instrText>ADDIN CSL_CITATION {"citationItems":[{"id":"ITEM-1","itemData":{"DOI":"10.1016/J.EPSL.2012.06.031","ISSN":"0012-821X","abstract":"We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Letters","id":"ITEM-1","issued":{"date-parts":[["2012","9","1"]]},"page":"38-48","publisher":"Elsevier","title":"Solubility of molecular hydrogen in silicate melts and consequences for volatile evolution of terrestrial planets","type":"article-journal","volume":"345-348"},"uris":["http://www.mendeley.com/documents/?uuid=0b218f94-363e-373b-aae6-51c0c4c55f42"]}],"mendeley":{"formattedCitation":"(Hirschmann et al., 2012)","manualFormatting":"Hirschmann et al. (2012)","plainTextFormattedCitation":"(Hirschmann et al., 2012)","previouslyFormattedCitation":"(Hirschmann et al., 2012)"},"properties":{"noteIndex":0},"schema":"https://github.com/citation-style-language/schema/raw/master/csl-citation.json"}</w:instrText>
      </w:r>
      <w:r w:rsidR="00F92A05" w:rsidRPr="004168B8">
        <w:rPr>
          <w:rFonts w:ascii="Times New Roman" w:hAnsi="Times New Roman"/>
          <w:color w:val="000000" w:themeColor="text1"/>
          <w:sz w:val="24"/>
          <w:szCs w:val="24"/>
        </w:rPr>
        <w:fldChar w:fldCharType="separate"/>
      </w:r>
      <w:r w:rsidR="00F92A05" w:rsidRPr="004168B8">
        <w:rPr>
          <w:rFonts w:ascii="Times New Roman" w:hAnsi="Times New Roman"/>
          <w:i w:val="0"/>
          <w:iCs w:val="0"/>
          <w:noProof/>
          <w:color w:val="000000" w:themeColor="text1"/>
          <w:sz w:val="24"/>
          <w:szCs w:val="24"/>
        </w:rPr>
        <w:t>Hirschmann et al. (2012)</w:t>
      </w:r>
      <w:r w:rsidR="00F92A05" w:rsidRPr="004168B8">
        <w:rPr>
          <w:rFonts w:ascii="Times New Roman" w:hAnsi="Times New Roman"/>
          <w:color w:val="000000" w:themeColor="text1"/>
          <w:sz w:val="24"/>
          <w:szCs w:val="24"/>
        </w:rPr>
        <w:fldChar w:fldCharType="end"/>
      </w:r>
      <w:r w:rsidRPr="00F92A05">
        <w:rPr>
          <w:rFonts w:ascii="Times New Roman" w:hAnsi="Times New Roman" w:cs="Times New Roman"/>
          <w:i w:val="0"/>
          <w:iCs w:val="0"/>
          <w:color w:val="000000" w:themeColor="text1"/>
          <w:sz w:val="24"/>
          <w:szCs w:val="24"/>
        </w:rPr>
        <w:t>. The solid line</w:t>
      </w:r>
      <w:r w:rsidR="00D879C5" w:rsidRPr="00F92A05">
        <w:rPr>
          <w:rFonts w:ascii="Times New Roman" w:hAnsi="Times New Roman" w:cs="Times New Roman"/>
          <w:i w:val="0"/>
          <w:iCs w:val="0"/>
          <w:color w:val="000000" w:themeColor="text1"/>
          <w:sz w:val="24"/>
          <w:szCs w:val="24"/>
        </w:rPr>
        <w:t>s</w:t>
      </w:r>
      <w:r w:rsidRPr="00F92A05">
        <w:rPr>
          <w:rFonts w:ascii="Times New Roman" w:hAnsi="Times New Roman" w:cs="Times New Roman"/>
          <w:i w:val="0"/>
          <w:iCs w:val="0"/>
          <w:color w:val="000000" w:themeColor="text1"/>
          <w:sz w:val="24"/>
          <w:szCs w:val="24"/>
        </w:rPr>
        <w:t xml:space="preserve"> </w:t>
      </w:r>
      <w:r w:rsidR="00D879C5" w:rsidRPr="00F92A05">
        <w:rPr>
          <w:rFonts w:ascii="Times New Roman" w:hAnsi="Times New Roman" w:cs="Times New Roman"/>
          <w:i w:val="0"/>
          <w:iCs w:val="0"/>
          <w:color w:val="000000" w:themeColor="text1"/>
          <w:sz w:val="24"/>
          <w:szCs w:val="24"/>
        </w:rPr>
        <w:t>are</w:t>
      </w:r>
      <w:r w:rsidRPr="00F92A05">
        <w:rPr>
          <w:rFonts w:ascii="Times New Roman" w:hAnsi="Times New Roman" w:cs="Times New Roman"/>
          <w:i w:val="0"/>
          <w:iCs w:val="0"/>
          <w:color w:val="000000" w:themeColor="text1"/>
          <w:sz w:val="24"/>
          <w:szCs w:val="24"/>
        </w:rPr>
        <w:t xml:space="preserve"> the fit to the data.</w:t>
      </w:r>
    </w:p>
    <w:p w14:paraId="1A154F80" w14:textId="3AC7222D" w:rsidR="006B6E47" w:rsidRPr="00931995" w:rsidRDefault="006B6E47" w:rsidP="00F92A05">
      <w:pPr>
        <w:rPr>
          <w:rFonts w:ascii="Times New Roman" w:hAnsi="Times New Roman"/>
        </w:rPr>
      </w:pPr>
      <w:r w:rsidRPr="00931995">
        <w:rPr>
          <w:rFonts w:ascii="Times New Roman" w:hAnsi="Times New Roman" w:cs="Times New Roman"/>
        </w:rPr>
        <w:tab/>
        <w:t>For molecular CO:</w:t>
      </w:r>
    </w:p>
    <w:p w14:paraId="3629FD69" w14:textId="28D39585" w:rsidR="001D4254" w:rsidRPr="005C4DDC" w:rsidRDefault="00063B50" w:rsidP="001D4254">
      <w:pPr>
        <w:jc w:val="both"/>
        <w:rPr>
          <w:i/>
          <w:iCs/>
        </w:rPr>
      </w:pPr>
      <m:oMathPara>
        <m:oMath>
          <m:eqArr>
            <m:eqArrPr>
              <m:maxDist m:val="1"/>
              <m:ctrlPr>
                <w:rPr>
                  <w:rFonts w:ascii="Cambria Math" w:hAnsi="Cambria Math"/>
                  <w:i/>
                </w:rPr>
              </m:ctrlPr>
            </m:eqArrPr>
            <m:e>
              <m:r>
                <m:rPr>
                  <m:sty m:val="p"/>
                </m:rPr>
                <w:rPr>
                  <w:rFonts w:ascii="Cambria Math" w:hAnsi="Cambria Math"/>
                </w:rPr>
                <m:t>CO</m:t>
              </m:r>
              <m:d>
                <m:dPr>
                  <m:ctrlPr>
                    <w:rPr>
                      <w:rFonts w:ascii="Cambria Math" w:hAnsi="Cambria Math"/>
                    </w:rPr>
                  </m:ctrlPr>
                </m:dPr>
                <m:e>
                  <m:r>
                    <w:rPr>
                      <w:rFonts w:ascii="Cambria Math" w:hAnsi="Cambria Math"/>
                    </w:rPr>
                    <m:t>v</m:t>
                  </m:r>
                </m:e>
              </m:d>
              <m:r>
                <m:rPr>
                  <m:sty m:val="p"/>
                </m:rPr>
                <w:rPr>
                  <w:rFonts w:ascii="Cambria Math" w:hAnsi="Cambria Math"/>
                </w:rPr>
                <m:t>=CO</m:t>
              </m:r>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S25</m:t>
                  </m:r>
                  <m:ctrlPr>
                    <w:rPr>
                      <w:rFonts w:ascii="Cambria Math" w:hAnsi="Cambria Math"/>
                    </w:rPr>
                  </m:ctrlPr>
                </m:e>
              </m:d>
            </m:e>
          </m:eqArr>
        </m:oMath>
      </m:oMathPara>
    </w:p>
    <w:p w14:paraId="03EB6942" w14:textId="5442F921" w:rsidR="001D4254" w:rsidRPr="00C62730" w:rsidRDefault="00063B50" w:rsidP="001D4254">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r>
                        <m:rPr>
                          <m:sty m:val="p"/>
                        </m:rPr>
                        <w:rPr>
                          <w:rFonts w:ascii="Cambria Math" w:hAnsi="Cambria Math"/>
                        </w:rPr>
                        <m:t>CO</m:t>
                      </m:r>
                    </m:sub>
                  </m:sSub>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up>
                      <m:r>
                        <w:rPr>
                          <w:rFonts w:ascii="Cambria Math" w:hAnsi="Cambria Math"/>
                        </w:rPr>
                        <m:t>m</m:t>
                      </m:r>
                    </m:sup>
                  </m:sSubSup>
                  <m:sSubSup>
                    <m:sSubSupPr>
                      <m:ctrlPr>
                        <w:rPr>
                          <w:rFonts w:ascii="Cambria Math" w:hAnsi="Cambria Math"/>
                        </w:rPr>
                      </m:ctrlPr>
                    </m:sSubSupPr>
                    <m:e>
                      <m:r>
                        <m:rPr>
                          <m:sty m:val="p"/>
                        </m:rPr>
                        <w:rPr>
                          <w:rFonts w:ascii="Cambria Math" w:hAnsi="Cambria Math"/>
                        </w:rPr>
                        <m:t xml:space="preserve"> </m:t>
                      </m:r>
                      <m:r>
                        <w:rPr>
                          <w:rFonts w:ascii="Cambria Math" w:hAnsi="Cambria Math"/>
                        </w:rPr>
                        <m:t>x</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r>
                        <m:rPr>
                          <m:sty m:val="p"/>
                        </m:rPr>
                        <w:rPr>
                          <w:rFonts w:ascii="Cambria Math" w:hAnsi="Cambria Math"/>
                        </w:rPr>
                        <m:t>CO</m:t>
                      </m:r>
                    </m:sub>
                  </m:sSub>
                </m:den>
              </m:f>
              <m:r>
                <m:rPr>
                  <m:sty m:val="p"/>
                </m:rPr>
                <w:rPr>
                  <w:rFonts w:ascii="Cambria Math" w:hAnsi="Cambria Math"/>
                </w:rPr>
                <m:t>, #</m:t>
              </m:r>
              <m:d>
                <m:dPr>
                  <m:ctrlPr>
                    <w:rPr>
                      <w:rFonts w:ascii="Cambria Math" w:hAnsi="Cambria Math"/>
                    </w:rPr>
                  </m:ctrlPr>
                </m:dPr>
                <m:e>
                  <m:r>
                    <m:rPr>
                      <m:sty m:val="p"/>
                    </m:rPr>
                    <w:rPr>
                      <w:rFonts w:ascii="Cambria Math" w:hAnsi="Cambria Math"/>
                    </w:rPr>
                    <m:t>S26</m:t>
                  </m:r>
                </m:e>
              </m:d>
            </m:e>
          </m:eqArr>
        </m:oMath>
      </m:oMathPara>
    </w:p>
    <w:p w14:paraId="119974DB" w14:textId="057C1257" w:rsidR="006B6E47" w:rsidRPr="00C62730" w:rsidRDefault="00063B50" w:rsidP="001D4254">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f</m:t>
                  </m:r>
                </m:e>
                <m:sub>
                  <m:r>
                    <m:rPr>
                      <m:sty m:val="p"/>
                    </m:rPr>
                    <w:rPr>
                      <w:rFonts w:ascii="Cambria Math" w:hAnsi="Cambria Math"/>
                    </w:rPr>
                    <m:t>CO</m:t>
                  </m:r>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w</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CO</m:t>
                          </m:r>
                        </m:e>
                        <m:sub>
                          <m:r>
                            <m:rPr>
                              <m:sty m:val="p"/>
                            </m:rPr>
                            <w:rPr>
                              <w:rFonts w:ascii="Cambria Math" w:hAnsi="Cambria Math"/>
                            </w:rPr>
                            <m:t>mol</m:t>
                          </m:r>
                        </m:sub>
                      </m:sSub>
                    </m:sub>
                  </m:sSub>
                </m:den>
              </m:f>
              <m:r>
                <m:rPr>
                  <m:sty m:val="p"/>
                </m:rPr>
                <w:rPr>
                  <w:rFonts w:ascii="Cambria Math" w:hAnsi="Cambria Math"/>
                </w:rPr>
                <m:t>.#</m:t>
              </m:r>
              <m:d>
                <m:dPr>
                  <m:ctrlPr>
                    <w:rPr>
                      <w:rFonts w:ascii="Cambria Math" w:hAnsi="Cambria Math"/>
                    </w:rPr>
                  </m:ctrlPr>
                </m:dPr>
                <m:e>
                  <m:r>
                    <m:rPr>
                      <m:sty m:val="p"/>
                    </m:rPr>
                    <w:rPr>
                      <w:rFonts w:ascii="Cambria Math" w:hAnsi="Cambria Math"/>
                    </w:rPr>
                    <m:t>S27</m:t>
                  </m:r>
                </m:e>
              </m:d>
            </m:e>
          </m:eqArr>
        </m:oMath>
      </m:oMathPara>
    </w:p>
    <w:p w14:paraId="733A8AC6" w14:textId="4039CC5A" w:rsidR="00EC4181" w:rsidRDefault="00EC4181" w:rsidP="004168B8">
      <w:pPr>
        <w:pStyle w:val="equation"/>
        <w:spacing w:after="0"/>
        <w:rPr>
          <w:rFonts w:ascii="Times New Roman" w:hAnsi="Times New Roman"/>
        </w:rPr>
      </w:pPr>
      <w:r>
        <w:t xml:space="preserve">We parameterise </w:t>
      </w:r>
      <w:proofErr w:type="spellStart"/>
      <w:r w:rsidR="00F06C9F" w:rsidRPr="00F06C9F">
        <w:rPr>
          <w:i/>
          <w:iCs/>
        </w:rPr>
        <w:t>C</w:t>
      </w:r>
      <w:r w:rsidR="00F06C9F" w:rsidRPr="00F06C9F">
        <w:rPr>
          <w:vertAlign w:val="subscript"/>
        </w:rPr>
        <w:t>COmol</w:t>
      </w:r>
      <w:proofErr w:type="spellEnd"/>
      <w:r>
        <w:t xml:space="preserve"> using equation (</w:t>
      </w:r>
      <w:r w:rsidR="000D5520">
        <w:t>S</w:t>
      </w:r>
      <w:r w:rsidR="00F92A05">
        <w:t>5</w:t>
      </w:r>
      <w:r>
        <w:t xml:space="preserve">) to include the effects of </w:t>
      </w:r>
      <w:r>
        <w:rPr>
          <w:i/>
          <w:iCs/>
        </w:rPr>
        <w:t>P</w:t>
      </w:r>
      <w:r>
        <w:t xml:space="preserve"> </w:t>
      </w:r>
      <w:r w:rsidR="00D66D9A">
        <w:t xml:space="preserve">(but not </w:t>
      </w:r>
      <w:r w:rsidR="00D66D9A" w:rsidRPr="00D66D9A">
        <w:rPr>
          <w:i/>
          <w:iCs/>
        </w:rPr>
        <w:t>T</w:t>
      </w:r>
      <w:r w:rsidR="00D66D9A">
        <w:t xml:space="preserve">) </w:t>
      </w:r>
      <w:r>
        <w:t xml:space="preserve">with experimental data on basalts (MOR, lunar, and </w:t>
      </w:r>
      <w:proofErr w:type="spellStart"/>
      <w:r>
        <w:t>martian</w:t>
      </w:r>
      <w:proofErr w:type="spellEnd"/>
      <w:r>
        <w:t xml:space="preserve"> basalt compositions) at</w:t>
      </w:r>
      <w:r w:rsidR="0042431E">
        <w:t xml:space="preserve"> 1340–1617 </w:t>
      </w:r>
      <w:r w:rsidR="0042431E" w:rsidRPr="00C203DE">
        <w:rPr>
          <w:rFonts w:ascii="Times New Roman" w:hAnsi="Times New Roman"/>
        </w:rPr>
        <w:t>°</w:t>
      </w:r>
      <w:r w:rsidR="0042431E">
        <w:rPr>
          <w:rFonts w:ascii="Times New Roman" w:hAnsi="Times New Roman"/>
        </w:rPr>
        <w:t xml:space="preserve">C and 350–32000 bar </w:t>
      </w:r>
      <w:r w:rsidR="0042431E">
        <w:rPr>
          <w:rFonts w:ascii="Times New Roman" w:hAnsi="Times New Roman"/>
        </w:rPr>
        <w:fldChar w:fldCharType="begin" w:fldLock="1"/>
      </w:r>
      <w:r w:rsidR="00F92A05">
        <w:rPr>
          <w:rFonts w:ascii="Times New Roman" w:hAnsi="Times New Roman"/>
        </w:rPr>
        <w:instrText>ADDIN CSL_CITATION {"citationItems":[{"id":"ITEM-1","itemData":{"DOI":"10.1016/j.gca.2013.12.013","ISSN":"00167037","abstract":"To determine the speciation and concentrations of dissolved COH volatiles in graphite-saturated martian primitive magmas, we conducted piston-cylinder experiments on graphite-encapsulated synthetic melt of Adirondack-class Humphrey basaltic composition. Experiments were performed over three orders of magnitude in oxygen fugacity (IW+2.3 to IW-0.8), and at pressures (1-3.2GPa) and temperatures (1340-1617°C) similar to those of possible martian source regions. Oxygen fugacities were determined from compositions of coexisting silicate melt+FePt alloy, olivine+pyroxene+FePt alloy, or melt+FeC liquid. Infrared spectra of quenched glasses all show carbonate absorptions at 1430 and 1520cm-1, with CO2 concentrations diminishing under more reduced conditions, from 0.50wt% down to 26ppm. Carbon contents of silicate glasses and FeC liquids were measured using secondary ion mass spectrometry (SIMS) yielding 36-716ppm and 6.71-7.03wt%, respectively. Fourier transform infrared (FTIR) and SIMS analysis produced similar H2O contents of 0.26-0.85 and 0.29-0.40wt%, respectively. Raman spectra of glasses reveal evidence for OH- ions, but no indication of methane-related species. FTIR-measured concentrations of dissolved carbonate diminish linearly with oxygen fugacity, but more reduced conditions yield greater dissolved carbonate concentrations than would be expected based on oxidized conditions in previous work. C contents of silicate glasses determined by SIMS are consistently higher than C as carbonate determined by FTIR. Their difference, termed non-carbonate C, correlates well with additional IR absorptions found in reduced glasses (fO2&lt;IW+0.4) at 1615, 2205, and 3370cm-1. These absorption bands are not seen in more oxidized glasses, except B441 (IW+1.7), presumably because they represent reduced C-bearing complexes. The 2205cm-1 peak is attributed to a CO complex, possibly an Fe-carbonyl ion. The 1615cm-1 peak does not correlate with that at 2205cm-1, but does correlate with non-carbonate C and is in a region commonly associated with CO bonding. The origin of the peak at 3370cm-1 is poorly understood and could potentially be owing to a variety of COH species or to NH bonding. The intensities of the 1615 and 3370cm-1 peaks correlate with each other leading us to provisionally attribute both to an unspecified complex with both CO and NH bonds. These results suggest that dissolved species such as carbonyl or other CO-bearing species could be a significant source of C f…","author":[{"dropping-particle":"","family":"Stanley","given":"Ben D.","non-dropping-particle":"","parse-names":false,"suffix":""},{"dropping-particle":"","family":"Hirschmann","given":"Marc M.","non-dropping-particle":"","parse-names":false,"suffix":""},{"dropping-particle":"","family":"Withers","given":"Anthony C.","non-dropping-particle":"","parse-names":false,"suffix":""}],"container-title":"Geochimica et Cosmochimica Acta","id":"ITEM-1","issued":{"date-parts":[["2014","3","15"]]},"page":"54-76","publisher":"Pergamon","title":"Solubility of COH volatiles in graphite-saturated martian basalts","type":"article-journal","volume":"129"},"uris":["http://www.mendeley.com/documents/?uuid=13f87006-e263-37ba-9dda-70e9face5223"]},{"id":"ITEM-2","itemData":{"DOI":"10.1073/PNAS.1219266110","ISSN":"00278424","abstract":"Degassing of planetary interiors through surface volcanism plays an important role in the evolution of planetary bodies and atmospheres. On Earth, carbon dioxide and water are the primary volatile species in magmas. However, little is known about the speciation and degassing of carbon in magmas formed on other planets (i.e., Moon, Mars, Mercury), where the mantle oxidation state [oxygen fugacity (fO2)] is different from that of the Earth. Using experiments on a lunar basalt composition, we confirm that carbon dissolves as carbonate at an fO2 higher than -0.55 relative to the iron wustite oxygen buffer (IW-0.55), whereas at a lower fO2, we discover that carbon is present mainly as iron pentacarbonyl and in smaller amounts as methane in the melt. The transition of carbon speciation in mantle-derived melts at fO2 less than IW-0.55 is associated with a decrease in carbon solubility by a factor of 2. Thus, the fO2 controls carbon speciation and solubility in mantle-derived melts even more than previous data indicate, and the degassing of reduced carbon from Fe-rich basalts on planetary bodies would produce methane-bearing, CO-rich early atmospheres with a strong greenhouse potential.","author":[{"dropping-particle":"","family":"Wetzel","given":"Diane T.","non-dropping-particle":"","parse-names":false,"suffix":""},{"dropping-particle":"","family":"Rutherford","given":"Malcolm J.","non-dropping-particle":"","parse-names":false,"suffix":""},{"dropping-particle":"","family":"Jacobsen","given":"Steven D.","non-dropping-particle":"","parse-names":false,"suffix":""},{"dropping-particle":"","family":"Hauri","given":"Erik H.","non-dropping-particle":"","parse-names":false,"suffix":""},{"dropping-particle":"","family":"Saal","given":"Alberto E.","non-dropping-particle":"","parse-names":false,"suffix":""}],"container-title":"Proceedings of the National Academy of Sciences","id":"ITEM-2","issue":"20","issued":{"date-parts":[["2013","5","14"]]},"page":"8010-8013","publisher":"Proceedings of the National Academy of Sciences","title":"Degassing of reduced carbon from planetary basalts","type":"article-journal","volume":"110"},"uris":["http://www.mendeley.com/documents/?uuid=b657d41a-4628-3245-978b-75872b92a032"]},{"id":"ITEM-3","itemData":{"DOI":"10.1016/j.gca.2015.07.007","ISSN":"00167037","abstract":"Using vibrational spectroscopy and SIMS, we determined the solubility and speciation of C-O-H-N dissolved volatiles in mafic glasses quenched from high pressure under reduced conditions, with fO2 from -3.65 to +1.46 relative to the iron-wüstite buffer (IW). Experiments were performed on martian and terrestrial basalts at 1.2GPa and 1400°C in graphite containers with variable availability of H2O, and in the presence of FePt alloys or Fe-C liquids. The dominant C-O-H-N species varies systematically with fO2 and H2O content: the carbonate ion prevails above IW+1, but for dry conditions between IW-2 and IW+1, CO species are most important. Below IW, reduced NH-bearing species are present. At the most reducing and hydrous (~0.5wt% H2O) conditions, small amounts of CH4 are present. Concentrations of C diminish as conditions become more reduced, amounting to 10s to ~100ppm in the interval ~IW-2 to IW+1 where CO species dominate, and as little as 1-3ppm at more reduced conditions. Concentrations of non-carbonate carbon, dominated by CO species, correlate with CO fugacities along a trend implying that the species stoichiometry has just one CO group and suggesting that carbonyl complexes (transition metals with multiple carbon monoxide ligands) are not important species under these conditions. C partition coefficients between Fe-C liquid and silicate melt increase with decreasing fO2, becoming as great as 104 for the most reducing conditions investigated. The low solubility of C in silicate liquids under reducing conditions means that most C during the magma ocean stage of planetary differentiation is either segregated to the core or in the overlying atmosphere. Precipitation of C-rich phases in a carbon-saturated magma ocean is also possible, and is one mechanism by which some C can be retained in the mantle of a planet. The predominant magmatic carbonaceous species for both martian and lunar volcanism is likely CO.","author":[{"dropping-particle":"","family":"Armstrong","given":"Lora S.","non-dropping-particle":"","parse-names":false,"suffix":""},{"dropping-particle":"","family":"Hirschmann","given":"Marc M.","non-dropping-particle":"","parse-names":false,"suffix":""},{"dropping-particle":"","family":"Stanley","given":"Ben D.","non-dropping-particle":"","parse-names":false,"suffix":""},{"dropping-particle":"","family":"Falksen","given":"Emily G.","non-dropping-particle":"","parse-names":false,"suffix":""},{"dropping-particle":"","family":"Jacobsen","given":"Steven D.","non-dropping-particle":"","parse-names":false,"suffix":""}],"container-title":"Geochimica et Cosmochimica Acta","id":"ITEM-3","issued":{"date-parts":[["2015","12","15"]]},"page":"283-302","publisher":"Elsevier Ltd","title":"Speciation and solubility of reduced C-O-H-N volatiles in mafic melt: Implications for volcanism, atmospheric evolution, and deep volatile cycles in the terrestrial planets","type":"article-journal","volume":"171"},"uris":["http://www.mendeley.com/documents/?uuid=6626ae04-d1ec-3960-bcb4-cbad3fb244b0"]}],"mendeley":{"formattedCitation":"(Armstrong et al., 2015; Stanley et al., 2014; Wetzel et al., 2013)","manualFormatting":"(Armstrong et al., 2015; Stanley et al., 2014; Wetzel et al., 2013; Figure S4)","plainTextFormattedCitation":"(Armstrong et al., 2015; Stanley et al., 2014; Wetzel et al., 2013)","previouslyFormattedCitation":"(Armstrong et al., 2015; Stanley et al., 2014; Wetzel et al., 2013)"},"properties":{"noteIndex":0},"schema":"https://github.com/citation-style-language/schema/raw/master/csl-citation.json"}</w:instrText>
      </w:r>
      <w:r w:rsidR="0042431E">
        <w:rPr>
          <w:rFonts w:ascii="Times New Roman" w:hAnsi="Times New Roman"/>
        </w:rPr>
        <w:fldChar w:fldCharType="separate"/>
      </w:r>
      <w:r w:rsidR="00FB6650" w:rsidRPr="00FB6650">
        <w:rPr>
          <w:rFonts w:ascii="Times New Roman" w:hAnsi="Times New Roman"/>
          <w:noProof/>
        </w:rPr>
        <w:t>(Armstrong et al., 2015; Stanley et al., 2014; Wetzel et al., 2013</w:t>
      </w:r>
      <w:r w:rsidR="00F92A05">
        <w:rPr>
          <w:rFonts w:ascii="Times New Roman" w:hAnsi="Times New Roman"/>
          <w:noProof/>
        </w:rPr>
        <w:t xml:space="preserve">; </w:t>
      </w:r>
      <w:r w:rsidR="00F92A05">
        <w:rPr>
          <w:rFonts w:ascii="Times New Roman" w:hAnsi="Times New Roman"/>
          <w:noProof/>
        </w:rPr>
        <w:fldChar w:fldCharType="begin" w:fldLock="1"/>
      </w:r>
      <w:r w:rsidR="00F92A05">
        <w:rPr>
          <w:rFonts w:ascii="Times New Roman" w:hAnsi="Times New Roman"/>
          <w:noProof/>
        </w:rPr>
        <w:instrText xml:space="preserve"> REF _Ref127350496 \h </w:instrText>
      </w:r>
      <w:r w:rsidR="00F92A05">
        <w:rPr>
          <w:rFonts w:ascii="Times New Roman" w:hAnsi="Times New Roman"/>
          <w:noProof/>
        </w:rPr>
      </w:r>
      <w:r w:rsidR="00F92A05">
        <w:rPr>
          <w:rFonts w:ascii="Times New Roman" w:hAnsi="Times New Roman"/>
          <w:noProof/>
        </w:rPr>
        <w:fldChar w:fldCharType="separate"/>
      </w:r>
      <w:r w:rsidR="00F92A05" w:rsidRPr="00F92A05">
        <w:rPr>
          <w:rFonts w:ascii="Times New Roman" w:hAnsi="Times New Roman"/>
          <w:noProof/>
          <w:color w:val="000000" w:themeColor="text1"/>
        </w:rPr>
        <w:t>Figure S4</w:t>
      </w:r>
      <w:r w:rsidR="00F92A05">
        <w:rPr>
          <w:rFonts w:ascii="Times New Roman" w:hAnsi="Times New Roman"/>
          <w:noProof/>
        </w:rPr>
        <w:fldChar w:fldCharType="end"/>
      </w:r>
      <w:r w:rsidR="00FB6650" w:rsidRPr="00FB6650">
        <w:rPr>
          <w:rFonts w:ascii="Times New Roman" w:hAnsi="Times New Roman"/>
          <w:noProof/>
        </w:rPr>
        <w:t>)</w:t>
      </w:r>
      <w:r w:rsidR="0042431E">
        <w:rPr>
          <w:rFonts w:ascii="Times New Roman" w:hAnsi="Times New Roman"/>
        </w:rPr>
        <w:fldChar w:fldCharType="end"/>
      </w:r>
      <w:r w:rsidR="0042431E">
        <w:rPr>
          <w:rFonts w:ascii="Times New Roman" w:hAnsi="Times New Roman"/>
        </w:rPr>
        <w:t>.</w:t>
      </w:r>
      <w:r w:rsidR="00443146">
        <w:rPr>
          <w:rFonts w:ascii="Times New Roman" w:hAnsi="Times New Roman"/>
        </w:rPr>
        <w:t xml:space="preserve"> This gives</w:t>
      </w:r>
      <w:r w:rsidR="00FB6650">
        <w:rPr>
          <w:rFonts w:ascii="Times New Roman" w:hAnsi="Times New Roman"/>
        </w:rPr>
        <w:t xml:space="preserve"> </w:t>
      </w:r>
      <w:r w:rsidR="00F06C9F">
        <w:rPr>
          <w:rFonts w:ascii="Times New Roman" w:hAnsi="Times New Roman"/>
        </w:rPr>
        <w:t>ln</w:t>
      </w:r>
      <w:r w:rsidR="00F06C9F" w:rsidRPr="00F06C9F">
        <w:rPr>
          <w:rFonts w:ascii="Times New Roman" w:hAnsi="Times New Roman"/>
          <w:i/>
          <w:iCs/>
        </w:rPr>
        <w:t>K</w:t>
      </w:r>
      <w:r w:rsidR="00F06C9F" w:rsidRPr="00F06C9F">
        <w:rPr>
          <w:rFonts w:ascii="Times New Roman" w:hAnsi="Times New Roman"/>
          <w:vertAlign w:val="subscript"/>
        </w:rPr>
        <w:t>0</w:t>
      </w:r>
      <w:r w:rsidR="00FB6650">
        <w:rPr>
          <w:rFonts w:ascii="Times New Roman" w:hAnsi="Times New Roman"/>
          <w:iCs/>
        </w:rPr>
        <w:t xml:space="preserve"> = </w:t>
      </w:r>
      <w:r w:rsidR="00443146">
        <w:rPr>
          <w:rFonts w:ascii="Times New Roman" w:hAnsi="Times New Roman"/>
          <w:iCs/>
        </w:rPr>
        <w:t>-2.11</w:t>
      </w:r>
      <w:r w:rsidR="00FB6650">
        <w:rPr>
          <w:rFonts w:ascii="Times New Roman" w:hAnsi="Times New Roman"/>
          <w:iCs/>
        </w:rPr>
        <w:t xml:space="preserve">; </w:t>
      </w:r>
      <w:r w:rsidR="00FB6650" w:rsidRPr="000B6300">
        <w:rPr>
          <w:rFonts w:ascii="Times New Roman" w:hAnsi="Times New Roman"/>
          <w:i/>
        </w:rPr>
        <w:t>P</w:t>
      </w:r>
      <w:r w:rsidR="00FB6650" w:rsidRPr="000B6300">
        <w:rPr>
          <w:rFonts w:ascii="Times New Roman" w:hAnsi="Times New Roman"/>
          <w:iCs/>
          <w:vertAlign w:val="subscript"/>
        </w:rPr>
        <w:t>0</w:t>
      </w:r>
      <w:r w:rsidR="00FB6650">
        <w:rPr>
          <w:rFonts w:ascii="Times New Roman" w:hAnsi="Times New Roman"/>
          <w:iCs/>
        </w:rPr>
        <w:t xml:space="preserve"> = 1 bar; and </w:t>
      </w:r>
      <m:oMath>
        <m:r>
          <w:rPr>
            <w:rFonts w:ascii="Cambria Math" w:hAnsi="Cambria Math"/>
          </w:rPr>
          <m:t>∆V</m:t>
        </m:r>
      </m:oMath>
      <w:r w:rsidR="00FB6650">
        <w:rPr>
          <w:rFonts w:ascii="Times New Roman" w:hAnsi="Times New Roman"/>
          <w:iCs/>
        </w:rPr>
        <w:t xml:space="preserve"> = </w:t>
      </w:r>
      <w:r w:rsidR="00443146">
        <w:rPr>
          <w:rFonts w:ascii="Times New Roman" w:hAnsi="Times New Roman"/>
          <w:iCs/>
        </w:rPr>
        <w:t>15</w:t>
      </w:r>
      <w:r w:rsidR="00FB6650">
        <w:rPr>
          <w:rFonts w:ascii="Times New Roman" w:hAnsi="Times New Roman"/>
          <w:iCs/>
        </w:rPr>
        <w:t>.</w:t>
      </w:r>
      <w:r w:rsidR="00443146">
        <w:rPr>
          <w:rFonts w:ascii="Times New Roman" w:hAnsi="Times New Roman"/>
          <w:iCs/>
        </w:rPr>
        <w:t>2</w:t>
      </w:r>
      <w:r w:rsidR="00FB6650">
        <w:rPr>
          <w:rFonts w:ascii="Times New Roman" w:hAnsi="Times New Roman"/>
          <w:iCs/>
        </w:rPr>
        <w:t xml:space="preserve"> cm</w:t>
      </w:r>
      <w:r w:rsidR="00FB6650" w:rsidRPr="000B6300">
        <w:rPr>
          <w:rFonts w:ascii="Times New Roman" w:hAnsi="Times New Roman"/>
          <w:iCs/>
          <w:vertAlign w:val="superscript"/>
        </w:rPr>
        <w:t>3</w:t>
      </w:r>
      <w:r w:rsidR="00FB6650">
        <w:rPr>
          <w:rFonts w:ascii="Times New Roman" w:hAnsi="Times New Roman"/>
          <w:iCs/>
        </w:rPr>
        <w:t>/mol</w:t>
      </w:r>
      <w:r w:rsidR="00443146">
        <w:rPr>
          <w:rFonts w:ascii="Times New Roman" w:hAnsi="Times New Roman"/>
          <w:iCs/>
        </w:rPr>
        <w:t xml:space="preserve"> </w:t>
      </w:r>
      <w:r w:rsidR="00D66D9A">
        <w:rPr>
          <w:rFonts w:ascii="Times New Roman" w:hAnsi="Times New Roman"/>
          <w:iCs/>
        </w:rPr>
        <w:t>where</w:t>
      </w:r>
      <w:r w:rsidR="00443146">
        <w:rPr>
          <w:rFonts w:ascii="Times New Roman" w:hAnsi="Times New Roman"/>
          <w:iCs/>
        </w:rPr>
        <w:t xml:space="preserve"> </w:t>
      </w:r>
      <w:proofErr w:type="spellStart"/>
      <w:r w:rsidR="00443146">
        <w:rPr>
          <w:rFonts w:ascii="Times New Roman" w:hAnsi="Times New Roman"/>
          <w:iCs/>
        </w:rPr>
        <w:t>CO</w:t>
      </w:r>
      <w:r w:rsidR="00443146" w:rsidRPr="00F92A05">
        <w:rPr>
          <w:rFonts w:ascii="Times New Roman" w:hAnsi="Times New Roman"/>
          <w:iCs/>
          <w:vertAlign w:val="subscript"/>
        </w:rPr>
        <w:t>mol</w:t>
      </w:r>
      <w:proofErr w:type="spellEnd"/>
      <w:r w:rsidR="00443146">
        <w:rPr>
          <w:rFonts w:ascii="Times New Roman" w:hAnsi="Times New Roman"/>
          <w:iCs/>
        </w:rPr>
        <w:t xml:space="preserve"> is in ppm and </w:t>
      </w:r>
      <w:proofErr w:type="spellStart"/>
      <w:r w:rsidR="00443146" w:rsidRPr="00F92A05">
        <w:rPr>
          <w:rFonts w:ascii="Times New Roman" w:hAnsi="Times New Roman"/>
          <w:i/>
        </w:rPr>
        <w:t>f</w:t>
      </w:r>
      <w:r w:rsidR="00443146" w:rsidRPr="00F92A05">
        <w:rPr>
          <w:rFonts w:ascii="Times New Roman" w:hAnsi="Times New Roman"/>
          <w:iCs/>
          <w:vertAlign w:val="subscript"/>
        </w:rPr>
        <w:t>CO</w:t>
      </w:r>
      <w:proofErr w:type="spellEnd"/>
      <w:r w:rsidR="00443146">
        <w:rPr>
          <w:rFonts w:ascii="Times New Roman" w:hAnsi="Times New Roman"/>
          <w:iCs/>
        </w:rPr>
        <w:t xml:space="preserve"> is in bar.</w:t>
      </w:r>
    </w:p>
    <w:p w14:paraId="48605352" w14:textId="56DCE66E" w:rsidR="00FB6650" w:rsidRDefault="00FB6650" w:rsidP="00F92A05">
      <w:pPr>
        <w:pStyle w:val="equation"/>
        <w:keepNext/>
        <w:spacing w:before="0" w:after="0"/>
        <w:jc w:val="center"/>
      </w:pPr>
      <w:r>
        <w:rPr>
          <w:rFonts w:ascii="Times New Roman" w:hAnsi="Times New Roman"/>
          <w:noProof/>
        </w:rPr>
        <w:lastRenderedPageBreak/>
        <w:drawing>
          <wp:inline distT="0" distB="0" distL="0" distR="0" wp14:anchorId="5F938FE4" wp14:editId="7380FDB9">
            <wp:extent cx="4140000" cy="2488588"/>
            <wp:effectExtent l="0" t="0" r="635" b="635"/>
            <wp:docPr id="10" name="Picture 1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scatter char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40000" cy="2488588"/>
                    </a:xfrm>
                    <a:prstGeom prst="rect">
                      <a:avLst/>
                    </a:prstGeom>
                  </pic:spPr>
                </pic:pic>
              </a:graphicData>
            </a:graphic>
          </wp:inline>
        </w:drawing>
      </w:r>
    </w:p>
    <w:p w14:paraId="4A2490C7" w14:textId="36CBD149" w:rsidR="0042431E" w:rsidRPr="00F92A05" w:rsidRDefault="00FB6650" w:rsidP="00F92A05">
      <w:pPr>
        <w:pStyle w:val="Caption"/>
        <w:ind w:firstLine="0"/>
        <w:rPr>
          <w:rFonts w:ascii="Times New Roman" w:hAnsi="Times New Roman"/>
          <w:color w:val="000000" w:themeColor="text1"/>
          <w:sz w:val="24"/>
          <w:szCs w:val="24"/>
        </w:rPr>
      </w:pPr>
      <w:bookmarkStart w:id="10" w:name="_Ref127350496"/>
      <w:r w:rsidRPr="00F92A05">
        <w:rPr>
          <w:rFonts w:ascii="Times New Roman" w:hAnsi="Times New Roman" w:cs="Times New Roman"/>
          <w:color w:val="000000" w:themeColor="text1"/>
          <w:sz w:val="24"/>
          <w:szCs w:val="24"/>
        </w:rPr>
        <w:t xml:space="preserve">Figure </w:t>
      </w:r>
      <w:r w:rsidR="00736793" w:rsidRPr="00F92A05">
        <w:rPr>
          <w:rFonts w:ascii="Times New Roman" w:hAnsi="Times New Roman" w:cs="Times New Roman"/>
          <w:color w:val="000000" w:themeColor="text1"/>
          <w:sz w:val="24"/>
          <w:szCs w:val="24"/>
        </w:rPr>
        <w:t>S</w:t>
      </w:r>
      <w:r w:rsidRPr="00F92A05">
        <w:rPr>
          <w:rFonts w:ascii="Times New Roman" w:hAnsi="Times New Roman" w:cs="Times New Roman"/>
          <w:color w:val="000000" w:themeColor="text1"/>
          <w:sz w:val="24"/>
          <w:szCs w:val="24"/>
        </w:rPr>
        <w:fldChar w:fldCharType="begin"/>
      </w:r>
      <w:r w:rsidRPr="00F92A05">
        <w:rPr>
          <w:rFonts w:ascii="Times New Roman" w:hAnsi="Times New Roman" w:cs="Times New Roman"/>
          <w:color w:val="000000" w:themeColor="text1"/>
          <w:sz w:val="24"/>
          <w:szCs w:val="24"/>
        </w:rPr>
        <w:instrText xml:space="preserve"> SEQ Figure \* ARABIC </w:instrText>
      </w:r>
      <w:r w:rsidRPr="00F92A05">
        <w:rPr>
          <w:rFonts w:ascii="Times New Roman" w:hAnsi="Times New Roman" w:cs="Times New Roman"/>
          <w:color w:val="000000" w:themeColor="text1"/>
          <w:sz w:val="24"/>
          <w:szCs w:val="24"/>
        </w:rPr>
        <w:fldChar w:fldCharType="separate"/>
      </w:r>
      <w:r w:rsidR="009E5695">
        <w:rPr>
          <w:rFonts w:ascii="Times New Roman" w:hAnsi="Times New Roman" w:cs="Times New Roman"/>
          <w:noProof/>
          <w:color w:val="000000" w:themeColor="text1"/>
          <w:sz w:val="24"/>
          <w:szCs w:val="24"/>
        </w:rPr>
        <w:t>4</w:t>
      </w:r>
      <w:r w:rsidRPr="00F92A05">
        <w:rPr>
          <w:rFonts w:ascii="Times New Roman" w:hAnsi="Times New Roman" w:cs="Times New Roman"/>
          <w:color w:val="000000" w:themeColor="text1"/>
          <w:sz w:val="24"/>
          <w:szCs w:val="24"/>
        </w:rPr>
        <w:fldChar w:fldCharType="end"/>
      </w:r>
      <w:bookmarkEnd w:id="10"/>
      <w:r w:rsidRPr="00F92A05">
        <w:rPr>
          <w:rFonts w:ascii="Times New Roman" w:hAnsi="Times New Roman" w:cs="Times New Roman"/>
          <w:i w:val="0"/>
          <w:iCs w:val="0"/>
          <w:color w:val="000000" w:themeColor="text1"/>
          <w:sz w:val="24"/>
          <w:szCs w:val="24"/>
        </w:rPr>
        <w:t xml:space="preserve"> </w:t>
      </w:r>
      <w:r w:rsidR="00D66D9A">
        <w:rPr>
          <w:i w:val="0"/>
          <w:iCs w:val="0"/>
          <w:color w:val="000000" w:themeColor="text1"/>
          <w:sz w:val="24"/>
          <w:szCs w:val="24"/>
        </w:rPr>
        <w:t>Fitting</w:t>
      </w:r>
      <w:r w:rsidRPr="00F92A05">
        <w:rPr>
          <w:i w:val="0"/>
          <w:iCs w:val="0"/>
          <w:color w:val="000000" w:themeColor="text1"/>
          <w:sz w:val="24"/>
          <w:szCs w:val="24"/>
        </w:rPr>
        <w:t xml:space="preserve"> the molecular CO </w:t>
      </w:r>
      <w:r w:rsidR="00D66D9A">
        <w:rPr>
          <w:i w:val="0"/>
          <w:iCs w:val="0"/>
          <w:color w:val="000000" w:themeColor="text1"/>
          <w:sz w:val="24"/>
          <w:szCs w:val="24"/>
        </w:rPr>
        <w:t>solubility function</w:t>
      </w:r>
      <w:r w:rsidRPr="00F92A05">
        <w:rPr>
          <w:i w:val="0"/>
          <w:iCs w:val="0"/>
          <w:color w:val="000000" w:themeColor="text1"/>
          <w:sz w:val="24"/>
          <w:szCs w:val="24"/>
        </w:rPr>
        <w:t xml:space="preserve"> for basaltic melt </w:t>
      </w:r>
      <w:r w:rsidRPr="00F92A05">
        <w:rPr>
          <w:rFonts w:ascii="Times New Roman" w:hAnsi="Times New Roman" w:cs="Times New Roman"/>
          <w:i w:val="0"/>
          <w:iCs w:val="0"/>
          <w:color w:val="000000" w:themeColor="text1"/>
          <w:sz w:val="24"/>
          <w:szCs w:val="24"/>
        </w:rPr>
        <w:t>compositions using equation (</w:t>
      </w:r>
      <w:r w:rsidR="00BD449C">
        <w:rPr>
          <w:rFonts w:ascii="Times New Roman" w:hAnsi="Times New Roman" w:cs="Times New Roman"/>
          <w:i w:val="0"/>
          <w:iCs w:val="0"/>
          <w:color w:val="000000" w:themeColor="text1"/>
          <w:sz w:val="24"/>
          <w:szCs w:val="24"/>
        </w:rPr>
        <w:t>S</w:t>
      </w:r>
      <w:r w:rsidR="00F92A05">
        <w:rPr>
          <w:rFonts w:ascii="Times New Roman" w:hAnsi="Times New Roman" w:cs="Times New Roman"/>
          <w:i w:val="0"/>
          <w:iCs w:val="0"/>
          <w:color w:val="000000" w:themeColor="text1"/>
          <w:sz w:val="24"/>
          <w:szCs w:val="24"/>
        </w:rPr>
        <w:t>5</w:t>
      </w:r>
      <w:r w:rsidRPr="00F92A05">
        <w:rPr>
          <w:rFonts w:ascii="Times New Roman" w:hAnsi="Times New Roman" w:cs="Times New Roman"/>
          <w:i w:val="0"/>
          <w:iCs w:val="0"/>
          <w:color w:val="000000" w:themeColor="text1"/>
          <w:sz w:val="24"/>
          <w:szCs w:val="24"/>
        </w:rPr>
        <w:t xml:space="preserve">). </w:t>
      </w:r>
      <w:r w:rsidR="00D66D9A">
        <w:rPr>
          <w:rFonts w:ascii="Times New Roman" w:hAnsi="Times New Roman" w:cs="Times New Roman"/>
          <w:i w:val="0"/>
          <w:iCs w:val="0"/>
          <w:color w:val="000000" w:themeColor="text1"/>
          <w:sz w:val="24"/>
          <w:szCs w:val="24"/>
        </w:rPr>
        <w:t>E</w:t>
      </w:r>
      <w:r w:rsidRPr="00F92A05">
        <w:rPr>
          <w:rFonts w:ascii="Times New Roman" w:hAnsi="Times New Roman" w:cs="Times New Roman"/>
          <w:i w:val="0"/>
          <w:iCs w:val="0"/>
          <w:color w:val="000000" w:themeColor="text1"/>
          <w:sz w:val="24"/>
          <w:szCs w:val="24"/>
        </w:rPr>
        <w:t>xperimental data</w:t>
      </w:r>
      <w:r w:rsidR="00D66D9A">
        <w:rPr>
          <w:rFonts w:ascii="Times New Roman" w:hAnsi="Times New Roman" w:cs="Times New Roman"/>
          <w:i w:val="0"/>
          <w:iCs w:val="0"/>
          <w:color w:val="000000" w:themeColor="text1"/>
          <w:sz w:val="24"/>
          <w:szCs w:val="24"/>
        </w:rPr>
        <w:t xml:space="preserve"> are</w:t>
      </w:r>
      <w:r w:rsidRPr="00F92A05">
        <w:rPr>
          <w:rFonts w:ascii="Times New Roman" w:hAnsi="Times New Roman" w:cs="Times New Roman"/>
          <w:i w:val="0"/>
          <w:iCs w:val="0"/>
          <w:color w:val="000000" w:themeColor="text1"/>
          <w:sz w:val="24"/>
          <w:szCs w:val="24"/>
        </w:rPr>
        <w:t xml:space="preserve"> from </w:t>
      </w:r>
      <w:r w:rsidR="00F92A05">
        <w:rPr>
          <w:rFonts w:ascii="Times New Roman" w:hAnsi="Times New Roman" w:cs="Times New Roman"/>
          <w:i w:val="0"/>
          <w:iCs w:val="0"/>
          <w:color w:val="000000" w:themeColor="text1"/>
          <w:sz w:val="24"/>
          <w:szCs w:val="24"/>
        </w:rPr>
        <w:fldChar w:fldCharType="begin" w:fldLock="1"/>
      </w:r>
      <w:r w:rsidR="00F92A05">
        <w:rPr>
          <w:rFonts w:ascii="Times New Roman" w:hAnsi="Times New Roman" w:cs="Times New Roman"/>
          <w:i w:val="0"/>
          <w:iCs w:val="0"/>
          <w:color w:val="000000" w:themeColor="text1"/>
          <w:sz w:val="24"/>
          <w:szCs w:val="24"/>
        </w:rPr>
        <w:instrText>ADDIN CSL_CITATION {"citationItems":[{"id":"ITEM-1","itemData":{"DOI":"10.1073/PNAS.1219266110","ISSN":"00278424","abstract":"Degassing of planetary interiors through surface volcanism plays an important role in the evolution of planetary bodies and atmospheres. On Earth, carbon dioxide and water are the primary volatile species in magmas. However, little is known about the speciation and degassing of carbon in magmas formed on other planets (i.e., Moon, Mars, Mercury), where the mantle oxidation state [oxygen fugacity (fO2)] is different from that of the Earth. Using experiments on a lunar basalt composition, we confirm that carbon dissolves as carbonate at an fO2 higher than -0.55 relative to the iron wustite oxygen buffer (IW-0.55), whereas at a lower fO2, we discover that carbon is present mainly as iron pentacarbonyl and in smaller amounts as methane in the melt. The transition of carbon speciation in mantle-derived melts at fO2 less than IW-0.55 is associated with a decrease in carbon solubility by a factor of 2. Thus, the fO2 controls carbon speciation and solubility in mantle-derived melts even more than previous data indicate, and the degassing of reduced carbon from Fe-rich basalts on planetary bodies would produce methane-bearing, CO-rich early atmospheres with a strong greenhouse potential.","author":[{"dropping-particle":"","family":"Wetzel","given":"Diane T.","non-dropping-particle":"","parse-names":false,"suffix":""},{"dropping-particle":"","family":"Rutherford","given":"Malcolm J.","non-dropping-particle":"","parse-names":false,"suffix":""},{"dropping-particle":"","family":"Jacobsen","given":"Steven D.","non-dropping-particle":"","parse-names":false,"suffix":""},{"dropping-particle":"","family":"Hauri","given":"Erik H.","non-dropping-particle":"","parse-names":false,"suffix":""},{"dropping-particle":"","family":"Saal","given":"Alberto E.","non-dropping-particle":"","parse-names":false,"suffix":""}],"container-title":"Proceedings of the National Academy of Sciences","id":"ITEM-1","issue":"20","issued":{"date-parts":[["2013","5","14"]]},"page":"8010-8013","publisher":"Proceedings of the National Academy of Sciences","title":"Degassing of reduced carbon from planetary basalts","type":"article-journal","volume":"110"},"uris":["http://www.mendeley.com/documents/?uuid=b657d41a-4628-3245-978b-75872b92a032"]}],"mendeley":{"formattedCitation":"(Wetzel et al., 2013)","manualFormatting":"Wetzel et al. (2013)","plainTextFormattedCitation":"(Wetzel et al., 2013)","previouslyFormattedCitation":"(Wetzel et al., 2013)"},"properties":{"noteIndex":0},"schema":"https://github.com/citation-style-language/schema/raw/master/csl-citation.json"}</w:instrText>
      </w:r>
      <w:r w:rsidR="00F92A05">
        <w:rPr>
          <w:rFonts w:ascii="Times New Roman" w:hAnsi="Times New Roman" w:cs="Times New Roman"/>
          <w:i w:val="0"/>
          <w:iCs w:val="0"/>
          <w:color w:val="000000" w:themeColor="text1"/>
          <w:sz w:val="24"/>
          <w:szCs w:val="24"/>
        </w:rPr>
        <w:fldChar w:fldCharType="separate"/>
      </w:r>
      <w:r w:rsidR="00F92A05" w:rsidRPr="00F92A05">
        <w:rPr>
          <w:rFonts w:ascii="Times New Roman" w:hAnsi="Times New Roman" w:cs="Times New Roman"/>
          <w:i w:val="0"/>
          <w:iCs w:val="0"/>
          <w:noProof/>
          <w:color w:val="000000" w:themeColor="text1"/>
          <w:sz w:val="24"/>
          <w:szCs w:val="24"/>
        </w:rPr>
        <w:t xml:space="preserve">Wetzel et al. </w:t>
      </w:r>
      <w:r w:rsidR="00F92A05">
        <w:rPr>
          <w:rFonts w:ascii="Times New Roman" w:hAnsi="Times New Roman" w:cs="Times New Roman"/>
          <w:i w:val="0"/>
          <w:iCs w:val="0"/>
          <w:noProof/>
          <w:color w:val="000000" w:themeColor="text1"/>
          <w:sz w:val="24"/>
          <w:szCs w:val="24"/>
        </w:rPr>
        <w:t>(</w:t>
      </w:r>
      <w:r w:rsidR="00F92A05" w:rsidRPr="00F92A05">
        <w:rPr>
          <w:rFonts w:ascii="Times New Roman" w:hAnsi="Times New Roman" w:cs="Times New Roman"/>
          <w:i w:val="0"/>
          <w:iCs w:val="0"/>
          <w:noProof/>
          <w:color w:val="000000" w:themeColor="text1"/>
          <w:sz w:val="24"/>
          <w:szCs w:val="24"/>
        </w:rPr>
        <w:t>2013)</w:t>
      </w:r>
      <w:r w:rsidR="00F92A05">
        <w:rPr>
          <w:rFonts w:ascii="Times New Roman" w:hAnsi="Times New Roman" w:cs="Times New Roman"/>
          <w:i w:val="0"/>
          <w:iCs w:val="0"/>
          <w:color w:val="000000" w:themeColor="text1"/>
          <w:sz w:val="24"/>
          <w:szCs w:val="24"/>
        </w:rPr>
        <w:fldChar w:fldCharType="end"/>
      </w:r>
      <w:r w:rsidRPr="00F92A05">
        <w:rPr>
          <w:rFonts w:ascii="Times New Roman" w:hAnsi="Times New Roman" w:cs="Times New Roman"/>
          <w:i w:val="0"/>
          <w:iCs w:val="0"/>
          <w:color w:val="000000" w:themeColor="text1"/>
          <w:sz w:val="24"/>
          <w:szCs w:val="24"/>
        </w:rPr>
        <w:t xml:space="preserve"> [square], </w:t>
      </w:r>
      <w:r w:rsidR="00F92A05">
        <w:rPr>
          <w:rFonts w:ascii="Times New Roman" w:hAnsi="Times New Roman" w:cs="Times New Roman"/>
          <w:i w:val="0"/>
          <w:iCs w:val="0"/>
          <w:color w:val="000000" w:themeColor="text1"/>
          <w:sz w:val="24"/>
          <w:szCs w:val="24"/>
        </w:rPr>
        <w:fldChar w:fldCharType="begin" w:fldLock="1"/>
      </w:r>
      <w:r w:rsidR="00F92A05">
        <w:rPr>
          <w:rFonts w:ascii="Times New Roman" w:hAnsi="Times New Roman" w:cs="Times New Roman"/>
          <w:i w:val="0"/>
          <w:iCs w:val="0"/>
          <w:color w:val="000000" w:themeColor="text1"/>
          <w:sz w:val="24"/>
          <w:szCs w:val="24"/>
        </w:rPr>
        <w:instrText>ADDIN CSL_CITATION {"citationItems":[{"id":"ITEM-1","itemData":{"DOI":"10.1016/j.gca.2013.12.013","ISSN":"00167037","abstract":"To determine the speciation and concentrations of dissolved COH volatiles in graphite-saturated martian primitive magmas, we conducted piston-cylinder experiments on graphite-encapsulated synthetic melt of Adirondack-class Humphrey basaltic composition. Experiments were performed over three orders of magnitude in oxygen fugacity (IW+2.3 to IW-0.8), and at pressures (1-3.2GPa) and temperatures (1340-1617°C) similar to those of possible martian source regions. Oxygen fugacities were determined from compositions of coexisting silicate melt+FePt alloy, olivine+pyroxene+FePt alloy, or melt+FeC liquid. Infrared spectra of quenched glasses all show carbonate absorptions at 1430 and 1520cm-1, with CO2 concentrations diminishing under more reduced conditions, from 0.50wt% down to 26ppm. Carbon contents of silicate glasses and FeC liquids were measured using secondary ion mass spectrometry (SIMS) yielding 36-716ppm and 6.71-7.03wt%, respectively. Fourier transform infrared (FTIR) and SIMS analysis produced similar H2O contents of 0.26-0.85 and 0.29-0.40wt%, respectively. Raman spectra of glasses reveal evidence for OH- ions, but no indication of methane-related species. FTIR-measured concentrations of dissolved carbonate diminish linearly with oxygen fugacity, but more reduced conditions yield greater dissolved carbonate concentrations than would be expected based on oxidized conditions in previous work. C contents of silicate glasses determined by SIMS are consistently higher than C as carbonate determined by FTIR. Their difference, termed non-carbonate C, correlates well with additional IR absorptions found in reduced glasses (fO2&lt;IW+0.4) at 1615, 2205, and 3370cm-1. These absorption bands are not seen in more oxidized glasses, except B441 (IW+1.7), presumably because they represent reduced C-bearing complexes. The 2205cm-1 peak is attributed to a CO complex, possibly an Fe-carbonyl ion. The 1615cm-1 peak does not correlate with that at 2205cm-1, but does correlate with non-carbonate C and is in a region commonly associated with CO bonding. The origin of the peak at 3370cm-1 is poorly understood and could potentially be owing to a variety of COH species or to NH bonding. The intensities of the 1615 and 3370cm-1 peaks correlate with each other leading us to provisionally attribute both to an unspecified complex with both CO and NH bonds. These results suggest that dissolved species such as carbonyl or other CO-bearing species could be a significant source of C f…","author":[{"dropping-particle":"","family":"Stanley","given":"Ben D.","non-dropping-particle":"","parse-names":false,"suffix":""},{"dropping-particle":"","family":"Hirschmann","given":"Marc M.","non-dropping-particle":"","parse-names":false,"suffix":""},{"dropping-particle":"","family":"Withers","given":"Anthony C.","non-dropping-particle":"","parse-names":false,"suffix":""}],"container-title":"Geochimica et Cosmochimica Acta","id":"ITEM-1","issued":{"date-parts":[["2014","3","15"]]},"page":"54-76","publisher":"Pergamon","title":"Solubility of COH volatiles in graphite-saturated martian basalts","type":"article-journal","volume":"129"},"uris":["http://www.mendeley.com/documents/?uuid=13f87006-e263-37ba-9dda-70e9face5223"]}],"mendeley":{"formattedCitation":"(Stanley et al., 2014)","manualFormatting":"Stanley et al. (2014)","plainTextFormattedCitation":"(Stanley et al., 2014)","previouslyFormattedCitation":"(Stanley et al., 2014)"},"properties":{"noteIndex":0},"schema":"https://github.com/citation-style-language/schema/raw/master/csl-citation.json"}</w:instrText>
      </w:r>
      <w:r w:rsidR="00F92A05">
        <w:rPr>
          <w:rFonts w:ascii="Times New Roman" w:hAnsi="Times New Roman" w:cs="Times New Roman"/>
          <w:i w:val="0"/>
          <w:iCs w:val="0"/>
          <w:color w:val="000000" w:themeColor="text1"/>
          <w:sz w:val="24"/>
          <w:szCs w:val="24"/>
        </w:rPr>
        <w:fldChar w:fldCharType="separate"/>
      </w:r>
      <w:r w:rsidR="00F92A05" w:rsidRPr="00F92A05">
        <w:rPr>
          <w:rFonts w:ascii="Times New Roman" w:hAnsi="Times New Roman" w:cs="Times New Roman"/>
          <w:i w:val="0"/>
          <w:iCs w:val="0"/>
          <w:noProof/>
          <w:color w:val="000000" w:themeColor="text1"/>
          <w:sz w:val="24"/>
          <w:szCs w:val="24"/>
        </w:rPr>
        <w:t xml:space="preserve">Stanley et al. </w:t>
      </w:r>
      <w:r w:rsidR="00F92A05">
        <w:rPr>
          <w:rFonts w:ascii="Times New Roman" w:hAnsi="Times New Roman" w:cs="Times New Roman"/>
          <w:i w:val="0"/>
          <w:iCs w:val="0"/>
          <w:noProof/>
          <w:color w:val="000000" w:themeColor="text1"/>
          <w:sz w:val="24"/>
          <w:szCs w:val="24"/>
        </w:rPr>
        <w:t>(</w:t>
      </w:r>
      <w:r w:rsidR="00F92A05" w:rsidRPr="00F92A05">
        <w:rPr>
          <w:rFonts w:ascii="Times New Roman" w:hAnsi="Times New Roman" w:cs="Times New Roman"/>
          <w:i w:val="0"/>
          <w:iCs w:val="0"/>
          <w:noProof/>
          <w:color w:val="000000" w:themeColor="text1"/>
          <w:sz w:val="24"/>
          <w:szCs w:val="24"/>
        </w:rPr>
        <w:t>2014)</w:t>
      </w:r>
      <w:r w:rsidR="00F92A05">
        <w:rPr>
          <w:rFonts w:ascii="Times New Roman" w:hAnsi="Times New Roman" w:cs="Times New Roman"/>
          <w:i w:val="0"/>
          <w:iCs w:val="0"/>
          <w:color w:val="000000" w:themeColor="text1"/>
          <w:sz w:val="24"/>
          <w:szCs w:val="24"/>
        </w:rPr>
        <w:fldChar w:fldCharType="end"/>
      </w:r>
      <w:r w:rsidRPr="00F92A05">
        <w:rPr>
          <w:rFonts w:ascii="Times New Roman" w:hAnsi="Times New Roman" w:cs="Times New Roman"/>
          <w:i w:val="0"/>
          <w:iCs w:val="0"/>
          <w:color w:val="000000" w:themeColor="text1"/>
          <w:sz w:val="24"/>
          <w:szCs w:val="24"/>
        </w:rPr>
        <w:t xml:space="preserve"> [circle], and </w:t>
      </w:r>
      <w:r w:rsidR="00F92A05">
        <w:rPr>
          <w:rFonts w:ascii="Times New Roman" w:hAnsi="Times New Roman" w:cs="Times New Roman"/>
          <w:i w:val="0"/>
          <w:iCs w:val="0"/>
          <w:color w:val="000000" w:themeColor="text1"/>
          <w:sz w:val="24"/>
          <w:szCs w:val="24"/>
        </w:rPr>
        <w:fldChar w:fldCharType="begin" w:fldLock="1"/>
      </w:r>
      <w:r w:rsidR="00F92A05">
        <w:rPr>
          <w:rFonts w:ascii="Times New Roman" w:hAnsi="Times New Roman" w:cs="Times New Roman"/>
          <w:i w:val="0"/>
          <w:iCs w:val="0"/>
          <w:color w:val="000000" w:themeColor="text1"/>
          <w:sz w:val="24"/>
          <w:szCs w:val="24"/>
        </w:rPr>
        <w:instrText>ADDIN CSL_CITATION {"citationItems":[{"id":"ITEM-1","itemData":{"DOI":"10.1016/j.gca.2015.07.007","ISSN":"00167037","abstract":"Using vibrational spectroscopy and SIMS, we determined the solubility and speciation of C-O-H-N dissolved volatiles in mafic glasses quenched from high pressure under reduced conditions, with fO2 from -3.65 to +1.46 relative to the iron-wüstite buffer (IW). Experiments were performed on martian and terrestrial basalts at 1.2GPa and 1400°C in graphite containers with variable availability of H2O, and in the presence of FePt alloys or Fe-C liquids. The dominant C-O-H-N species varies systematically with fO2 and H2O content: the carbonate ion prevails above IW+1, but for dry conditions between IW-2 and IW+1, CO species are most important. Below IW, reduced NH-bearing species are present. At the most reducing and hydrous (~0.5wt% H2O) conditions, small amounts of CH4 are present. Concentrations of C diminish as conditions become more reduced, amounting to 10s to ~100ppm in the interval ~IW-2 to IW+1 where CO species dominate, and as little as 1-3ppm at more reduced conditions. Concentrations of non-carbonate carbon, dominated by CO species, correlate with CO fugacities along a trend implying that the species stoichiometry has just one CO group and suggesting that carbonyl complexes (transition metals with multiple carbon monoxide ligands) are not important species under these conditions. C partition coefficients between Fe-C liquid and silicate melt increase with decreasing fO2, becoming as great as 104 for the most reducing conditions investigated. The low solubility of C in silicate liquids under reducing conditions means that most C during the magma ocean stage of planetary differentiation is either segregated to the core or in the overlying atmosphere. Precipitation of C-rich phases in a carbon-saturated magma ocean is also possible, and is one mechanism by which some C can be retained in the mantle of a planet. The predominant magmatic carbonaceous species for both martian and lunar volcanism is likely CO.","author":[{"dropping-particle":"","family":"Armstrong","given":"Lora S.","non-dropping-particle":"","parse-names":false,"suffix":""},{"dropping-particle":"","family":"Hirschmann","given":"Marc M.","non-dropping-particle":"","parse-names":false,"suffix":""},{"dropping-particle":"","family":"Stanley","given":"Ben D.","non-dropping-particle":"","parse-names":false,"suffix":""},{"dropping-particle":"","family":"Falksen","given":"Emily G.","non-dropping-particle":"","parse-names":false,"suffix":""},{"dropping-particle":"","family":"Jacobsen","given":"Steven D.","non-dropping-particle":"","parse-names":false,"suffix":""}],"container-title":"Geochimica et Cosmochimica Acta","id":"ITEM-1","issued":{"date-parts":[["2015","12","15"]]},"page":"283-302","publisher":"Elsevier Ltd","title":"Speciation and solubility of reduced C-O-H-N volatiles in mafic melt: Implications for volcanism, atmospheric evolution, and deep volatile cycles in the terrestrial planets","type":"article-journal","volume":"171"},"uris":["http://www.mendeley.com/documents/?uuid=6626ae04-d1ec-3960-bcb4-cbad3fb244b0"]}],"mendeley":{"formattedCitation":"(Armstrong et al., 2015)","manualFormatting":"Armstrong et al. (2015)","plainTextFormattedCitation":"(Armstrong et al., 2015)","previouslyFormattedCitation":"(Armstrong et al., 2015)"},"properties":{"noteIndex":0},"schema":"https://github.com/citation-style-language/schema/raw/master/csl-citation.json"}</w:instrText>
      </w:r>
      <w:r w:rsidR="00F92A05">
        <w:rPr>
          <w:rFonts w:ascii="Times New Roman" w:hAnsi="Times New Roman" w:cs="Times New Roman"/>
          <w:i w:val="0"/>
          <w:iCs w:val="0"/>
          <w:color w:val="000000" w:themeColor="text1"/>
          <w:sz w:val="24"/>
          <w:szCs w:val="24"/>
        </w:rPr>
        <w:fldChar w:fldCharType="separate"/>
      </w:r>
      <w:r w:rsidR="00F92A05" w:rsidRPr="00F92A05">
        <w:rPr>
          <w:rFonts w:ascii="Times New Roman" w:hAnsi="Times New Roman" w:cs="Times New Roman"/>
          <w:i w:val="0"/>
          <w:iCs w:val="0"/>
          <w:noProof/>
          <w:color w:val="000000" w:themeColor="text1"/>
          <w:sz w:val="24"/>
          <w:szCs w:val="24"/>
        </w:rPr>
        <w:t xml:space="preserve">Armstrong et al. </w:t>
      </w:r>
      <w:r w:rsidR="00F92A05">
        <w:rPr>
          <w:rFonts w:ascii="Times New Roman" w:hAnsi="Times New Roman" w:cs="Times New Roman"/>
          <w:i w:val="0"/>
          <w:iCs w:val="0"/>
          <w:noProof/>
          <w:color w:val="000000" w:themeColor="text1"/>
          <w:sz w:val="24"/>
          <w:szCs w:val="24"/>
        </w:rPr>
        <w:t>(</w:t>
      </w:r>
      <w:r w:rsidR="00F92A05" w:rsidRPr="00F92A05">
        <w:rPr>
          <w:rFonts w:ascii="Times New Roman" w:hAnsi="Times New Roman" w:cs="Times New Roman"/>
          <w:i w:val="0"/>
          <w:iCs w:val="0"/>
          <w:noProof/>
          <w:color w:val="000000" w:themeColor="text1"/>
          <w:sz w:val="24"/>
          <w:szCs w:val="24"/>
        </w:rPr>
        <w:t>2015)</w:t>
      </w:r>
      <w:r w:rsidR="00F92A05">
        <w:rPr>
          <w:rFonts w:ascii="Times New Roman" w:hAnsi="Times New Roman" w:cs="Times New Roman"/>
          <w:i w:val="0"/>
          <w:iCs w:val="0"/>
          <w:color w:val="000000" w:themeColor="text1"/>
          <w:sz w:val="24"/>
          <w:szCs w:val="24"/>
        </w:rPr>
        <w:fldChar w:fldCharType="end"/>
      </w:r>
      <w:r w:rsidRPr="00F92A05">
        <w:rPr>
          <w:rFonts w:ascii="Times New Roman" w:hAnsi="Times New Roman" w:cs="Times New Roman"/>
          <w:i w:val="0"/>
          <w:iCs w:val="0"/>
          <w:color w:val="000000" w:themeColor="text1"/>
          <w:sz w:val="24"/>
          <w:szCs w:val="24"/>
        </w:rPr>
        <w:t xml:space="preserve"> [diamond]. The black solid line is the fit to the dat</w:t>
      </w:r>
      <w:r w:rsidR="00F06C9F">
        <w:rPr>
          <w:rFonts w:ascii="Times New Roman" w:hAnsi="Times New Roman" w:cs="Times New Roman"/>
          <w:i w:val="0"/>
          <w:iCs w:val="0"/>
          <w:color w:val="000000" w:themeColor="text1"/>
          <w:sz w:val="24"/>
          <w:szCs w:val="24"/>
        </w:rPr>
        <w:t>a, excluding the blue squares a</w:t>
      </w:r>
      <w:r w:rsidR="00286E42">
        <w:rPr>
          <w:rFonts w:ascii="Times New Roman" w:hAnsi="Times New Roman" w:cs="Times New Roman"/>
          <w:i w:val="0"/>
          <w:iCs w:val="0"/>
          <w:color w:val="000000" w:themeColor="text1"/>
          <w:sz w:val="24"/>
          <w:szCs w:val="24"/>
        </w:rPr>
        <w:t>t 9000 bars</w:t>
      </w:r>
      <w:r w:rsidRPr="00F92A05">
        <w:rPr>
          <w:rFonts w:ascii="Times New Roman" w:hAnsi="Times New Roman" w:cs="Times New Roman"/>
          <w:i w:val="0"/>
          <w:iCs w:val="0"/>
          <w:color w:val="000000" w:themeColor="text1"/>
          <w:sz w:val="24"/>
          <w:szCs w:val="24"/>
        </w:rPr>
        <w:t>.</w:t>
      </w:r>
    </w:p>
    <w:p w14:paraId="59C7F3B6" w14:textId="4C2FF530" w:rsidR="006B6E47" w:rsidRPr="00F92A05" w:rsidRDefault="006B6E47" w:rsidP="00F92A05">
      <w:pPr>
        <w:rPr>
          <w:rFonts w:ascii="Times New Roman" w:hAnsi="Times New Roman"/>
        </w:rPr>
      </w:pPr>
      <w:r w:rsidRPr="000B6300">
        <w:rPr>
          <w:rFonts w:ascii="Times New Roman" w:hAnsi="Times New Roman" w:cs="Times New Roman"/>
        </w:rPr>
        <w:tab/>
        <w:t>For molecular C</w:t>
      </w:r>
      <w:r>
        <w:rPr>
          <w:rFonts w:ascii="Times New Roman" w:hAnsi="Times New Roman" w:cs="Times New Roman"/>
        </w:rPr>
        <w:t>H</w:t>
      </w:r>
      <w:r w:rsidRPr="00F92A05">
        <w:rPr>
          <w:rFonts w:ascii="Times New Roman" w:hAnsi="Times New Roman" w:cs="Times New Roman"/>
          <w:vertAlign w:val="subscript"/>
        </w:rPr>
        <w:t>4</w:t>
      </w:r>
      <w:r w:rsidRPr="000B6300">
        <w:rPr>
          <w:rFonts w:ascii="Times New Roman" w:hAnsi="Times New Roman" w:cs="Times New Roman"/>
        </w:rPr>
        <w:t>:</w:t>
      </w:r>
    </w:p>
    <w:p w14:paraId="7931C0B8" w14:textId="5DAC6043" w:rsidR="001D4254" w:rsidRPr="005C4DDC" w:rsidRDefault="00063B50" w:rsidP="001D4254">
      <w:pPr>
        <w:jc w:val="both"/>
        <w:rPr>
          <w:i/>
          <w:iCs/>
        </w:rPr>
      </w:pPr>
      <m:oMathPara>
        <m:oMath>
          <m:eqArr>
            <m:eqArrPr>
              <m:maxDist m:val="1"/>
              <m:ctrlPr>
                <w:rPr>
                  <w:rFonts w:ascii="Cambria Math" w:hAnsi="Cambria Math"/>
                  <w:i/>
                </w:rPr>
              </m:ctrlPr>
            </m:eqArrPr>
            <m:e>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t>
                  </m:r>
                </m:sub>
              </m:sSub>
              <m:d>
                <m:dPr>
                  <m:ctrlPr>
                    <w:rPr>
                      <w:rFonts w:ascii="Cambria Math" w:hAnsi="Cambria Math"/>
                    </w:rPr>
                  </m:ctrlPr>
                </m:dPr>
                <m:e>
                  <m:r>
                    <w:rPr>
                      <w:rFonts w:ascii="Cambria Math" w:hAnsi="Cambria Math"/>
                    </w:rPr>
                    <m:t>v</m:t>
                  </m:r>
                </m:e>
              </m:d>
              <m:r>
                <m:rPr>
                  <m:sty m:val="p"/>
                </m:rPr>
                <w:rPr>
                  <w:rFonts w:ascii="Cambria Math" w:hAnsi="Cambria Math"/>
                </w:rPr>
                <m:t>=</m:t>
              </m:r>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t>
                  </m:r>
                </m:sub>
              </m:sSub>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S28</m:t>
                  </m:r>
                  <m:ctrlPr>
                    <w:rPr>
                      <w:rFonts w:ascii="Cambria Math" w:hAnsi="Cambria Math"/>
                    </w:rPr>
                  </m:ctrlPr>
                </m:e>
              </m:d>
            </m:e>
          </m:eqArr>
        </m:oMath>
      </m:oMathPara>
    </w:p>
    <w:p w14:paraId="04BB5872" w14:textId="093D5705" w:rsidR="001D4254" w:rsidRPr="00C62730" w:rsidRDefault="00063B50" w:rsidP="001D4254">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K</m:t>
                  </m:r>
                </m:e>
                <m:sub>
                  <m:r>
                    <m:rPr>
                      <m:sty m:val="p"/>
                    </m:rPr>
                    <w:rPr>
                      <w:rFonts w:ascii="Cambria Math" w:hAnsi="Cambria Math"/>
                    </w:rPr>
                    <m:t>C</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4,mol</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t>
                          </m:r>
                        </m:sub>
                      </m:sSub>
                    </m:sub>
                  </m:sSub>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4,mol</m:t>
                          </m:r>
                        </m:sub>
                      </m:sSub>
                    </m:sub>
                    <m:sup>
                      <m:r>
                        <w:rPr>
                          <w:rFonts w:ascii="Cambria Math" w:hAnsi="Cambria Math"/>
                        </w:rPr>
                        <m:t>m</m:t>
                      </m:r>
                    </m:sup>
                  </m:sSubSup>
                  <m:sSubSup>
                    <m:sSubSupPr>
                      <m:ctrlPr>
                        <w:rPr>
                          <w:rFonts w:ascii="Cambria Math" w:hAnsi="Cambria Math"/>
                        </w:rPr>
                      </m:ctrlPr>
                    </m:sSubSupPr>
                    <m:e>
                      <m:r>
                        <m:rPr>
                          <m:sty m:val="p"/>
                        </m:rPr>
                        <w:rPr>
                          <w:rFonts w:ascii="Cambria Math" w:hAnsi="Cambria Math"/>
                        </w:rPr>
                        <m:t xml:space="preserve"> </m:t>
                      </m:r>
                      <m:r>
                        <w:rPr>
                          <w:rFonts w:ascii="Cambria Math" w:hAnsi="Cambria Math"/>
                        </w:rPr>
                        <m:t>x</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t>
                          </m:r>
                        </m:sub>
                      </m:sSub>
                    </m:sub>
                  </m:sSub>
                </m:den>
              </m:f>
              <m:r>
                <m:rPr>
                  <m:sty m:val="p"/>
                </m:rPr>
                <w:rPr>
                  <w:rFonts w:ascii="Cambria Math" w:hAnsi="Cambria Math"/>
                </w:rPr>
                <m:t>. #</m:t>
              </m:r>
              <m:d>
                <m:dPr>
                  <m:ctrlPr>
                    <w:rPr>
                      <w:rFonts w:ascii="Cambria Math" w:hAnsi="Cambria Math"/>
                    </w:rPr>
                  </m:ctrlPr>
                </m:dPr>
                <m:e>
                  <m:r>
                    <m:rPr>
                      <m:sty m:val="p"/>
                    </m:rPr>
                    <w:rPr>
                      <w:rFonts w:ascii="Cambria Math" w:hAnsi="Cambria Math"/>
                    </w:rPr>
                    <m:t>S29</m:t>
                  </m:r>
                </m:e>
              </m:d>
            </m:e>
          </m:eqArr>
        </m:oMath>
      </m:oMathPara>
    </w:p>
    <w:p w14:paraId="35246399" w14:textId="58E1D16E" w:rsidR="006B6E47" w:rsidRPr="000B6300" w:rsidRDefault="00063B50" w:rsidP="006B6E47">
      <w:pPr>
        <w:pStyle w:val="equation"/>
      </w:pPr>
      <m:oMathPara>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w</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4,mol</m:t>
                          </m:r>
                        </m:sub>
                      </m:sSub>
                    </m:sub>
                    <m:sup>
                      <m:r>
                        <w:rPr>
                          <w:rFonts w:ascii="Cambria Math" w:hAnsi="Cambria Math"/>
                        </w:rPr>
                        <m:t>m</m:t>
                      </m:r>
                    </m:sup>
                  </m:sSubSup>
                </m:num>
                <m:den>
                  <m:sSub>
                    <m:sSubPr>
                      <m:ctrlPr>
                        <w:rPr>
                          <w:rFonts w:ascii="Cambria Math" w:hAnsi="Cambria Math"/>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CH</m:t>
                          </m:r>
                        </m:e>
                        <m:sub>
                          <m:r>
                            <m:rPr>
                              <m:sty m:val="p"/>
                            </m:rPr>
                            <w:rPr>
                              <w:rFonts w:ascii="Cambria Math" w:hAnsi="Cambria Math"/>
                            </w:rPr>
                            <m:t>4,mol</m:t>
                          </m:r>
                        </m:sub>
                      </m:sSub>
                    </m:sub>
                  </m:sSub>
                </m:den>
              </m:f>
              <m:r>
                <m:rPr>
                  <m:sty m:val="p"/>
                </m:rPr>
                <w:rPr>
                  <w:rFonts w:ascii="Cambria Math" w:hAnsi="Cambria Math"/>
                </w:rPr>
                <m:t>.#</m:t>
              </m:r>
              <m:d>
                <m:dPr>
                  <m:ctrlPr>
                    <w:rPr>
                      <w:rFonts w:ascii="Cambria Math" w:hAnsi="Cambria Math"/>
                    </w:rPr>
                  </m:ctrlPr>
                </m:dPr>
                <m:e>
                  <m:r>
                    <m:rPr>
                      <m:sty m:val="p"/>
                    </m:rPr>
                    <w:rPr>
                      <w:rFonts w:ascii="Cambria Math" w:hAnsi="Cambria Math"/>
                    </w:rPr>
                    <m:t>S30</m:t>
                  </m:r>
                </m:e>
              </m:d>
            </m:e>
          </m:eqArr>
        </m:oMath>
      </m:oMathPara>
    </w:p>
    <w:p w14:paraId="42C7E44D" w14:textId="67B6259C" w:rsidR="00AF337A" w:rsidRDefault="00AF337A" w:rsidP="00AF337A">
      <w:pPr>
        <w:pStyle w:val="equation"/>
        <w:rPr>
          <w:rFonts w:ascii="Times New Roman" w:hAnsi="Times New Roman"/>
        </w:rPr>
      </w:pPr>
      <w:r>
        <w:t xml:space="preserve">We </w:t>
      </w:r>
      <w:r w:rsidR="00445E39">
        <w:t xml:space="preserve">use the </w:t>
      </w:r>
      <w:r>
        <w:t>parameteris</w:t>
      </w:r>
      <w:r w:rsidR="00445E39">
        <w:t>ation of</w:t>
      </w:r>
      <w:r>
        <w:t xml:space="preserve"> </w:t>
      </w:r>
      <w:r w:rsidR="00BD449C" w:rsidRPr="00BD449C">
        <w:rPr>
          <w:i/>
          <w:iCs/>
        </w:rPr>
        <w:t>C</w:t>
      </w:r>
      <w:r w:rsidR="00BD449C" w:rsidRPr="00BD449C">
        <w:rPr>
          <w:vertAlign w:val="subscript"/>
        </w:rPr>
        <w:t>CH4,mol</w:t>
      </w:r>
      <w:r>
        <w:t xml:space="preserve"> </w:t>
      </w:r>
      <w:r w:rsidR="00445E39">
        <w:t xml:space="preserve">by </w:t>
      </w:r>
      <w:r w:rsidR="00F92A05">
        <w:fldChar w:fldCharType="begin" w:fldLock="1"/>
      </w:r>
      <w:r w:rsidR="00F92A05">
        <w:instrText>ADDIN CSL_CITATION {"citationItems":[{"id":"ITEM-1","itemData":{"DOI":"10.1016/J.GCA.2013.03.028","ISSN":"0016-7037","abstract":"We employ a double capsule technique to determine the solubility of CH4 in haplobasaltic (Fe-free) liquid under conditions of constrained methane fugacity, fCH4, at pressures of 0.7-3GPa at 1400-1450°C. Dissolved C-O-H species are examined with FTIR and Raman spectroscopy, and CH4 and CH3- are the only C-bearing species detected. Carbon solubilities are quantified using SIMS, range from 70 to 480ppm when calculated as CH4, and increase with pressure. Concentrations are parameterized with a thermodynamic model and are found to be related to fCH4 and pressure. Application of this thermodynamic model shows dissolved CH4 contents of graphite-saturated magmas are little-influenced by pressure for conditions of fixed fO2 relative to metal-oxide buffers and fixed total H content. Because fCH4 of graphite-saturated systems increases with the square of hydrogen fugacity, dissolved fCH4 increases with decreasing fO2 and increases exponentially with increasing total H content. The experimentally-observed increase with pressure is related to variations in fO2 and H content. Dissolved CH4 contents of Martian magmas in their source regions are small, such that it is unlikely that magmatic CH4 is a principal contributor to greenhouse conditions early in Martian history. Concentrations of dissolved C-O-H volatiles in a magma ocean early in the history of a terrestrial planet may be diminished by reducing conditions, leading to development of a massive atmosphere and a greatly decreased inventory of volatiles stored in planetary interiors at the outset of planetary history. Dissolution of methane may enhance the retention of C in the silicate Earth during core formation, but experimental evaluation of its influence on metal/silicate partitioning of C requires careful matching of the magmatic H concentration between experiments and natural systems. © 2013 Elsevier Ltd.","author":[{"dropping-particle":"","family":"Ardia","given":"P.","non-dropping-particle":"","parse-names":false,"suffix":""},{"dropping-particle":"","family":"Hirschmann","given":"M. M.","non-dropping-particle":"","parse-names":false,"suffix":""},{"dropping-particle":"","family":"Withers","given":"A. C.","non-dropping-particle":"","parse-names":false,"suffix":""},{"dropping-particle":"","family":"Stanley","given":"B. D.","non-dropping-particle":"","parse-names":false,"suffix":""}],"container-title":"Geochimica et Cosmochimica Acta","id":"ITEM-1","issued":{"date-parts":[["2013","8","1"]]},"page":"52-71","publisher":"Pergamon","title":"Solubility of CH4 in a synthetic basaltic melt, with applications to atmosphere–magma ocean–core partitioning of volatiles and to the evolution of the Martian atmosphere","type":"article-journal","volume":"114"},"uris":["http://www.mendeley.com/documents/?uuid=f480b134-992e-323d-9672-6feca8280fae"]}],"mendeley":{"formattedCitation":"(Ardia et al., 2013)","manualFormatting":"Ardia et al. (2013)","plainTextFormattedCitation":"(Ardia et al., 2013)","previouslyFormattedCitation":"(Ardia et al., 2013)"},"properties":{"noteIndex":0},"schema":"https://github.com/citation-style-language/schema/raw/master/csl-citation.json"}</w:instrText>
      </w:r>
      <w:r w:rsidR="00F92A05">
        <w:fldChar w:fldCharType="separate"/>
      </w:r>
      <w:r w:rsidR="00F92A05" w:rsidRPr="00F92A05">
        <w:rPr>
          <w:noProof/>
        </w:rPr>
        <w:t xml:space="preserve">Ardia et al. </w:t>
      </w:r>
      <w:r w:rsidR="00F92A05">
        <w:rPr>
          <w:noProof/>
        </w:rPr>
        <w:t>(</w:t>
      </w:r>
      <w:r w:rsidR="00F92A05" w:rsidRPr="00F92A05">
        <w:rPr>
          <w:noProof/>
        </w:rPr>
        <w:t>2013)</w:t>
      </w:r>
      <w:r w:rsidR="00F92A05">
        <w:fldChar w:fldCharType="end"/>
      </w:r>
      <w:r w:rsidR="00445E39">
        <w:rPr>
          <w:rFonts w:ascii="Times New Roman" w:hAnsi="Times New Roman"/>
        </w:rPr>
        <w:t>, which is</w:t>
      </w:r>
      <w:r w:rsidR="00445E39">
        <w:t xml:space="preserve"> based on</w:t>
      </w:r>
      <w:r>
        <w:t xml:space="preserve"> equation (</w:t>
      </w:r>
      <w:r w:rsidR="00BD449C">
        <w:t>S</w:t>
      </w:r>
      <w:r w:rsidR="00F92A05">
        <w:t>5</w:t>
      </w:r>
      <w:r>
        <w:t xml:space="preserve">) to include the effects of </w:t>
      </w:r>
      <w:r>
        <w:rPr>
          <w:i/>
          <w:iCs/>
        </w:rPr>
        <w:t>P</w:t>
      </w:r>
      <w:r w:rsidR="00445E39">
        <w:t xml:space="preserve">: </w:t>
      </w:r>
      <w:r w:rsidR="00BD449C">
        <w:t>ln</w:t>
      </w:r>
      <w:r w:rsidR="00BD449C" w:rsidRPr="00BD449C">
        <w:rPr>
          <w:i/>
          <w:iCs/>
        </w:rPr>
        <w:t>K</w:t>
      </w:r>
      <w:r w:rsidR="00BD449C" w:rsidRPr="00BD449C">
        <w:rPr>
          <w:vertAlign w:val="subscript"/>
        </w:rPr>
        <w:t>0</w:t>
      </w:r>
      <w:r w:rsidR="00445E39">
        <w:rPr>
          <w:rFonts w:ascii="Times New Roman" w:hAnsi="Times New Roman"/>
          <w:iCs/>
        </w:rPr>
        <w:t xml:space="preserve"> = 4.93; </w:t>
      </w:r>
      <w:r w:rsidR="00445E39" w:rsidRPr="000B6300">
        <w:rPr>
          <w:rFonts w:ascii="Times New Roman" w:hAnsi="Times New Roman"/>
          <w:i/>
        </w:rPr>
        <w:t>P</w:t>
      </w:r>
      <w:r w:rsidR="00445E39" w:rsidRPr="000B6300">
        <w:rPr>
          <w:rFonts w:ascii="Times New Roman" w:hAnsi="Times New Roman"/>
          <w:iCs/>
          <w:vertAlign w:val="subscript"/>
        </w:rPr>
        <w:t>0</w:t>
      </w:r>
      <w:r w:rsidR="00445E39">
        <w:rPr>
          <w:rFonts w:ascii="Times New Roman" w:hAnsi="Times New Roman"/>
          <w:iCs/>
        </w:rPr>
        <w:t xml:space="preserve"> = 1 bar; and </w:t>
      </w:r>
      <m:oMath>
        <m:r>
          <w:rPr>
            <w:rFonts w:ascii="Cambria Math" w:hAnsi="Cambria Math"/>
          </w:rPr>
          <m:t>∆V</m:t>
        </m:r>
      </m:oMath>
      <w:r w:rsidR="00445E39">
        <w:rPr>
          <w:rFonts w:ascii="Times New Roman" w:hAnsi="Times New Roman"/>
          <w:iCs/>
        </w:rPr>
        <w:t xml:space="preserve"> = </w:t>
      </w:r>
      <w:r w:rsidR="004F3A35">
        <w:rPr>
          <w:rFonts w:ascii="Times New Roman" w:hAnsi="Times New Roman"/>
          <w:iCs/>
        </w:rPr>
        <w:t>26</w:t>
      </w:r>
      <w:r w:rsidR="00445E39">
        <w:rPr>
          <w:rFonts w:ascii="Times New Roman" w:hAnsi="Times New Roman"/>
          <w:iCs/>
        </w:rPr>
        <w:t>.</w:t>
      </w:r>
      <w:r w:rsidR="004F3A35">
        <w:rPr>
          <w:rFonts w:ascii="Times New Roman" w:hAnsi="Times New Roman"/>
          <w:iCs/>
        </w:rPr>
        <w:t>85</w:t>
      </w:r>
      <w:r w:rsidR="00445E39">
        <w:rPr>
          <w:rFonts w:ascii="Times New Roman" w:hAnsi="Times New Roman"/>
          <w:iCs/>
        </w:rPr>
        <w:t xml:space="preserve"> cm</w:t>
      </w:r>
      <w:r w:rsidR="00445E39" w:rsidRPr="000B6300">
        <w:rPr>
          <w:rFonts w:ascii="Times New Roman" w:hAnsi="Times New Roman"/>
          <w:iCs/>
          <w:vertAlign w:val="superscript"/>
        </w:rPr>
        <w:t>3</w:t>
      </w:r>
      <w:r w:rsidR="00445E39">
        <w:rPr>
          <w:rFonts w:ascii="Times New Roman" w:hAnsi="Times New Roman"/>
          <w:iCs/>
        </w:rPr>
        <w:t>/mol</w:t>
      </w:r>
      <w:r w:rsidR="004F3A35">
        <w:rPr>
          <w:rFonts w:ascii="Times New Roman" w:hAnsi="Times New Roman"/>
          <w:iCs/>
        </w:rPr>
        <w:t>,</w:t>
      </w:r>
      <w:r w:rsidR="00445E39">
        <w:rPr>
          <w:rFonts w:ascii="Times New Roman" w:hAnsi="Times New Roman"/>
          <w:iCs/>
        </w:rPr>
        <w:t xml:space="preserve"> whe</w:t>
      </w:r>
      <w:r w:rsidR="00D66D9A">
        <w:rPr>
          <w:rFonts w:ascii="Times New Roman" w:hAnsi="Times New Roman"/>
          <w:iCs/>
        </w:rPr>
        <w:t>re</w:t>
      </w:r>
      <w:r w:rsidR="00445E39">
        <w:rPr>
          <w:rFonts w:ascii="Times New Roman" w:hAnsi="Times New Roman"/>
          <w:iCs/>
        </w:rPr>
        <w:t xml:space="preserve"> C</w:t>
      </w:r>
      <w:r w:rsidR="004F3A35">
        <w:rPr>
          <w:rFonts w:ascii="Times New Roman" w:hAnsi="Times New Roman"/>
          <w:iCs/>
        </w:rPr>
        <w:t>H</w:t>
      </w:r>
      <w:r w:rsidR="004F3A35">
        <w:rPr>
          <w:rFonts w:ascii="Times New Roman" w:hAnsi="Times New Roman"/>
          <w:iCs/>
          <w:vertAlign w:val="subscript"/>
        </w:rPr>
        <w:t>4,m</w:t>
      </w:r>
      <w:r w:rsidR="00445E39" w:rsidRPr="000B6300">
        <w:rPr>
          <w:rFonts w:ascii="Times New Roman" w:hAnsi="Times New Roman"/>
          <w:iCs/>
          <w:vertAlign w:val="subscript"/>
        </w:rPr>
        <w:t>ol</w:t>
      </w:r>
      <w:r w:rsidR="00445E39">
        <w:rPr>
          <w:rFonts w:ascii="Times New Roman" w:hAnsi="Times New Roman"/>
          <w:iCs/>
        </w:rPr>
        <w:t xml:space="preserve"> is in ppm and </w:t>
      </w:r>
      <w:r w:rsidR="00445E39" w:rsidRPr="000B6300">
        <w:rPr>
          <w:rFonts w:ascii="Times New Roman" w:hAnsi="Times New Roman"/>
          <w:i/>
        </w:rPr>
        <w:t>f</w:t>
      </w:r>
      <w:r w:rsidR="00445E39" w:rsidRPr="000B6300">
        <w:rPr>
          <w:rFonts w:ascii="Times New Roman" w:hAnsi="Times New Roman"/>
          <w:iCs/>
          <w:vertAlign w:val="subscript"/>
        </w:rPr>
        <w:t>C</w:t>
      </w:r>
      <w:r w:rsidR="004F3A35">
        <w:rPr>
          <w:rFonts w:ascii="Times New Roman" w:hAnsi="Times New Roman"/>
          <w:iCs/>
          <w:vertAlign w:val="subscript"/>
        </w:rPr>
        <w:t>H4</w:t>
      </w:r>
      <w:r w:rsidR="00445E39">
        <w:rPr>
          <w:rFonts w:ascii="Times New Roman" w:hAnsi="Times New Roman"/>
          <w:iCs/>
        </w:rPr>
        <w:t xml:space="preserve"> is in bar.</w:t>
      </w:r>
      <w:r w:rsidR="00445E39">
        <w:t xml:space="preserve"> This is based on</w:t>
      </w:r>
      <w:r>
        <w:t xml:space="preserve"> experimental data on </w:t>
      </w:r>
      <w:r w:rsidR="00445E39">
        <w:t xml:space="preserve">a </w:t>
      </w:r>
      <w:proofErr w:type="spellStart"/>
      <w:r w:rsidR="00445E39">
        <w:t>haplo</w:t>
      </w:r>
      <w:r>
        <w:t>basalt</w:t>
      </w:r>
      <w:proofErr w:type="spellEnd"/>
      <w:r>
        <w:t xml:space="preserve"> at 1400</w:t>
      </w:r>
      <w:r w:rsidR="00445E39">
        <w:t>–1450</w:t>
      </w:r>
      <w:r>
        <w:t xml:space="preserve"> </w:t>
      </w:r>
      <w:r w:rsidRPr="00C203DE">
        <w:rPr>
          <w:rFonts w:ascii="Times New Roman" w:hAnsi="Times New Roman"/>
        </w:rPr>
        <w:t>°</w:t>
      </w:r>
      <w:r>
        <w:rPr>
          <w:rFonts w:ascii="Times New Roman" w:hAnsi="Times New Roman"/>
        </w:rPr>
        <w:t xml:space="preserve">C and </w:t>
      </w:r>
      <w:r w:rsidR="00445E39">
        <w:rPr>
          <w:rFonts w:ascii="Times New Roman" w:hAnsi="Times New Roman"/>
        </w:rPr>
        <w:t>7000</w:t>
      </w:r>
      <w:r>
        <w:rPr>
          <w:rFonts w:ascii="Times New Roman" w:hAnsi="Times New Roman"/>
        </w:rPr>
        <w:t>–3</w:t>
      </w:r>
      <w:r w:rsidR="00445E39">
        <w:rPr>
          <w:rFonts w:ascii="Times New Roman" w:hAnsi="Times New Roman"/>
        </w:rPr>
        <w:t>0</w:t>
      </w:r>
      <w:r>
        <w:rPr>
          <w:rFonts w:ascii="Times New Roman" w:hAnsi="Times New Roman"/>
        </w:rPr>
        <w:t>000 bar</w:t>
      </w:r>
      <w:r w:rsidR="00445E39">
        <w:rPr>
          <w:rFonts w:ascii="Times New Roman" w:hAnsi="Times New Roman"/>
        </w:rPr>
        <w:t xml:space="preserve"> </w:t>
      </w:r>
      <w:r w:rsidR="00F92A05">
        <w:fldChar w:fldCharType="begin" w:fldLock="1"/>
      </w:r>
      <w:r w:rsidR="00F92A05">
        <w:instrText>ADDIN CSL_CITATION {"citationItems":[{"id":"ITEM-1","itemData":{"DOI":"10.1016/J.GCA.2013.03.028","ISSN":"0016-7037","abstract":"We employ a double capsule technique to determine the solubility of CH4 in haplobasaltic (Fe-free) liquid under conditions of constrained methane fugacity, fCH4, at pressures of 0.7-3GPa at 1400-1450°C. Dissolved C-O-H species are examined with FTIR and Raman spectroscopy, and CH4 and CH3- are the only C-bearing species detected. Carbon solubilities are quantified using SIMS, range from 70 to 480ppm when calculated as CH4, and increase with pressure. Concentrations are parameterized with a thermodynamic model and are found to be related to fCH4 and pressure. Application of this thermodynamic model shows dissolved CH4 contents of graphite-saturated magmas are little-influenced by pressure for conditions of fixed fO2 relative to metal-oxide buffers and fixed total H content. Because fCH4 of graphite-saturated systems increases with the square of hydrogen fugacity, dissolved fCH4 increases with decreasing fO2 and increases exponentially with increasing total H content. The experimentally-observed increase with pressure is related to variations in fO2 and H content. Dissolved CH4 contents of Martian magmas in their source regions are small, such that it is unlikely that magmatic CH4 is a principal contributor to greenhouse conditions early in Martian history. Concentrations of dissolved C-O-H volatiles in a magma ocean early in the history of a terrestrial planet may be diminished by reducing conditions, leading to development of a massive atmosphere and a greatly decreased inventory of volatiles stored in planetary interiors at the outset of planetary history. Dissolution of methane may enhance the retention of C in the silicate Earth during core formation, but experimental evaluation of its influence on metal/silicate partitioning of C requires careful matching of the magmatic H concentration between experiments and natural systems. © 2013 Elsevier Ltd.","author":[{"dropping-particle":"","family":"Ardia","given":"P.","non-dropping-particle":"","parse-names":false,"suffix":""},{"dropping-particle":"","family":"Hirschmann","given":"M. M.","non-dropping-particle":"","parse-names":false,"suffix":""},{"dropping-particle":"","family":"Withers","given":"A. C.","non-dropping-particle":"","parse-names":false,"suffix":""},{"dropping-particle":"","family":"Stanley","given":"B. D.","non-dropping-particle":"","parse-names":false,"suffix":""}],"container-title":"Geochimica et Cosmochimica Acta","id":"ITEM-1","issued":{"date-parts":[["2013","8","1"]]},"page":"52-71","publisher":"Pergamon","title":"Solubility of CH4 in a synthetic basaltic melt, with applications to atmosphere–magma ocean–core partitioning of volatiles and to the evolution of the Martian atmosphere","type":"article-journal","volume":"114"},"uris":["http://www.mendeley.com/documents/?uuid=f480b134-992e-323d-9672-6feca8280fae"]}],"mendeley":{"formattedCitation":"(Ardia et al., 2013)","plainTextFormattedCitation":"(Ardia et al., 2013)","previouslyFormattedCitation":"(Ardia et al., 2013)"},"properties":{"noteIndex":0},"schema":"https://github.com/citation-style-language/schema/raw/master/csl-citation.json"}</w:instrText>
      </w:r>
      <w:r w:rsidR="00F92A05">
        <w:fldChar w:fldCharType="separate"/>
      </w:r>
      <w:r w:rsidR="00F92A05" w:rsidRPr="00F92A05">
        <w:rPr>
          <w:noProof/>
        </w:rPr>
        <w:t>(Ardia et al., 2013)</w:t>
      </w:r>
      <w:r w:rsidR="00F92A05">
        <w:fldChar w:fldCharType="end"/>
      </w:r>
      <w:r>
        <w:rPr>
          <w:rFonts w:ascii="Times New Roman" w:hAnsi="Times New Roman"/>
        </w:rPr>
        <w:t xml:space="preserve">. </w:t>
      </w:r>
    </w:p>
    <w:p w14:paraId="03C6CB70" w14:textId="6806A5E8" w:rsidR="00AB0222" w:rsidRDefault="00AB0222" w:rsidP="00AB0222">
      <w:pPr>
        <w:jc w:val="both"/>
        <w:rPr>
          <w:rFonts w:ascii="Times New Roman" w:hAnsi="Times New Roman" w:cs="Times New Roman"/>
          <w:iCs/>
        </w:rPr>
      </w:pPr>
    </w:p>
    <w:p w14:paraId="427D6903" w14:textId="77777777" w:rsidR="001054A1" w:rsidRPr="001054A1" w:rsidRDefault="001054A1" w:rsidP="001054A1">
      <w:pPr>
        <w:pStyle w:val="Heading3"/>
        <w:jc w:val="both"/>
        <w:rPr>
          <w:rFonts w:ascii="Times New Roman" w:hAnsi="Times New Roman"/>
        </w:rPr>
      </w:pPr>
      <w:bookmarkStart w:id="11" w:name="_Ref109026099"/>
      <w:proofErr w:type="spellStart"/>
      <w:r w:rsidRPr="001054A1">
        <w:rPr>
          <w:rFonts w:ascii="Times New Roman" w:hAnsi="Times New Roman"/>
        </w:rPr>
        <w:t>Sulfur</w:t>
      </w:r>
      <w:proofErr w:type="spellEnd"/>
      <w:r w:rsidRPr="001054A1">
        <w:rPr>
          <w:rFonts w:ascii="Times New Roman" w:hAnsi="Times New Roman"/>
        </w:rPr>
        <w:t xml:space="preserve"> (S</w:t>
      </w:r>
      <w:r w:rsidRPr="001054A1">
        <w:rPr>
          <w:rFonts w:ascii="Times New Roman" w:hAnsi="Times New Roman"/>
          <w:vertAlign w:val="subscript"/>
        </w:rPr>
        <w:t>2</w:t>
      </w:r>
      <w:r w:rsidRPr="001054A1">
        <w:rPr>
          <w:rFonts w:ascii="Times New Roman" w:hAnsi="Times New Roman"/>
        </w:rPr>
        <w:t>) solubility</w:t>
      </w:r>
      <w:bookmarkEnd w:id="11"/>
    </w:p>
    <w:p w14:paraId="60327453" w14:textId="1FC9D488" w:rsidR="001054A1" w:rsidRPr="001054A1" w:rsidRDefault="001054A1" w:rsidP="00147AF9">
      <w:pPr>
        <w:ind w:firstLine="720"/>
        <w:jc w:val="both"/>
        <w:rPr>
          <w:rFonts w:ascii="Times New Roman" w:hAnsi="Times New Roman" w:cs="Times New Roman"/>
        </w:rPr>
      </w:pPr>
      <w:r w:rsidRPr="001054A1">
        <w:rPr>
          <w:rFonts w:ascii="Times New Roman" w:hAnsi="Times New Roman" w:cs="Times New Roman"/>
        </w:rPr>
        <w:t>There are two mechanisms for S</w:t>
      </w:r>
      <w:r w:rsidRPr="001054A1">
        <w:rPr>
          <w:rFonts w:ascii="Times New Roman" w:hAnsi="Times New Roman" w:cs="Times New Roman"/>
          <w:vertAlign w:val="subscript"/>
        </w:rPr>
        <w:t>2</w:t>
      </w:r>
      <w:r w:rsidRPr="001054A1">
        <w:rPr>
          <w:rFonts w:ascii="Times New Roman" w:hAnsi="Times New Roman" w:cs="Times New Roman"/>
        </w:rPr>
        <w:t xml:space="preserve"> dissolution into silicate melt to form either </w:t>
      </w:r>
      <w:proofErr w:type="spellStart"/>
      <w:r w:rsidRPr="001054A1">
        <w:rPr>
          <w:rFonts w:ascii="Times New Roman" w:hAnsi="Times New Roman" w:cs="Times New Roman"/>
        </w:rPr>
        <w:t>sul</w:t>
      </w:r>
      <w:r w:rsidR="008D4EA7">
        <w:rPr>
          <w:rFonts w:ascii="Times New Roman" w:hAnsi="Times New Roman" w:cs="Times New Roman"/>
        </w:rPr>
        <w:t>f</w:t>
      </w:r>
      <w:r w:rsidRPr="001054A1">
        <w:rPr>
          <w:rFonts w:ascii="Times New Roman" w:hAnsi="Times New Roman" w:cs="Times New Roman"/>
        </w:rPr>
        <w:t>ide</w:t>
      </w:r>
      <w:proofErr w:type="spellEnd"/>
      <w:r w:rsidRPr="001054A1">
        <w:rPr>
          <w:rFonts w:ascii="Times New Roman" w:hAnsi="Times New Roman" w:cs="Times New Roman"/>
        </w:rPr>
        <w:t xml:space="preserve"> (</w:t>
      </w:r>
      <w:r w:rsidR="00BD449C">
        <w:rPr>
          <w:rFonts w:ascii="Times New Roman" w:hAnsi="Times New Roman" w:cs="Times New Roman"/>
        </w:rPr>
        <w:t>S</w:t>
      </w:r>
      <w:r w:rsidR="00BD449C" w:rsidRPr="00BD449C">
        <w:rPr>
          <w:rFonts w:ascii="Times New Roman" w:hAnsi="Times New Roman" w:cs="Times New Roman"/>
          <w:vertAlign w:val="superscript"/>
        </w:rPr>
        <w:t>2-</w:t>
      </w:r>
      <w:r w:rsidRPr="001054A1">
        <w:rPr>
          <w:rFonts w:ascii="Times New Roman" w:hAnsi="Times New Roman" w:cs="Times New Roman"/>
        </w:rPr>
        <w:t xml:space="preserve">) and/or </w:t>
      </w:r>
      <w:proofErr w:type="spellStart"/>
      <w:r w:rsidRPr="001054A1">
        <w:rPr>
          <w:rFonts w:ascii="Times New Roman" w:hAnsi="Times New Roman" w:cs="Times New Roman"/>
        </w:rPr>
        <w:t>sul</w:t>
      </w:r>
      <w:r w:rsidR="008D4EA7">
        <w:rPr>
          <w:rFonts w:ascii="Times New Roman" w:hAnsi="Times New Roman" w:cs="Times New Roman"/>
        </w:rPr>
        <w:t>f</w:t>
      </w:r>
      <w:r w:rsidRPr="001054A1">
        <w:rPr>
          <w:rFonts w:ascii="Times New Roman" w:hAnsi="Times New Roman" w:cs="Times New Roman"/>
        </w:rPr>
        <w:t>ate</w:t>
      </w:r>
      <w:proofErr w:type="spellEnd"/>
      <w:r w:rsidRPr="001054A1">
        <w:rPr>
          <w:rFonts w:ascii="Times New Roman" w:hAnsi="Times New Roman" w:cs="Times New Roman"/>
        </w:rPr>
        <w:t xml:space="preserve"> (</w:t>
      </w:r>
      <w:r w:rsidR="00BD449C">
        <w:rPr>
          <w:rFonts w:ascii="Times New Roman" w:hAnsi="Times New Roman" w:cs="Times New Roman"/>
        </w:rPr>
        <w:t>SO</w:t>
      </w:r>
      <w:r w:rsidR="00BD449C" w:rsidRPr="00BD449C">
        <w:rPr>
          <w:rFonts w:ascii="Times New Roman" w:hAnsi="Times New Roman" w:cs="Times New Roman"/>
          <w:vertAlign w:val="subscript"/>
        </w:rPr>
        <w:t>4</w:t>
      </w:r>
      <w:r w:rsidR="00BD449C" w:rsidRPr="00BD449C">
        <w:rPr>
          <w:rFonts w:ascii="Times New Roman" w:hAnsi="Times New Roman" w:cs="Times New Roman"/>
          <w:vertAlign w:val="superscript"/>
        </w:rPr>
        <w:t>2-</w:t>
      </w:r>
      <w:r w:rsidRPr="001054A1">
        <w:rPr>
          <w:rFonts w:ascii="Times New Roman" w:hAnsi="Times New Roman" w:cs="Times New Roman"/>
        </w:rPr>
        <w:t>) species</w:t>
      </w:r>
      <w:r w:rsidR="00225C80">
        <w:rPr>
          <w:rFonts w:ascii="Times New Roman" w:hAnsi="Times New Roman" w:cs="Times New Roman"/>
        </w:rPr>
        <w:t xml:space="preserve"> </w:t>
      </w:r>
      <w:r w:rsidR="00225C80">
        <w:rPr>
          <w:rFonts w:ascii="Times New Roman" w:hAnsi="Times New Roman"/>
        </w:rPr>
        <w:fldChar w:fldCharType="begin" w:fldLock="1"/>
      </w:r>
      <w:r w:rsidR="00D66D9A">
        <w:rPr>
          <w:rFonts w:ascii="Times New Roman" w:hAnsi="Times New Roman"/>
        </w:rPr>
        <w:instrText xml:space="preserve">ADDIN CSL_CITATION {"citationItems":[{"id":"ITEM-1","itemData":{"DOI":"10.1098/rspa.1954.0099","abstract":"As part of a general programme of research on the nature of inorganic melts, a study has been made of the manner in which sulphur is held in liquid silicates and aluminates. Mixtures of CaO-SiO2, MgO-SiO2, FeO-SiO2, CaO-Al2O3 and CaO-SiO2-Al2O3 have been brought into equilibrium, at temperatures between 1350 and 1650°C, with gas phases made by mixing H2, CO2 and SO2 at room temperature. It has been shown that, when pO2 is less than about 10–5 atm, a sulphur atom can only enter the melt by displacing a suitable oxygen atom. The sulphur is then held in the slag entirely as sulphide, its concentration being controlled by the general equilibrium, ½S2 + (O)melt = ½O2 + (S)melt. When pO2 is greater than about 10-3 atm, the sulphur is held as sulphate and the corresponding equilibrium is ½S2 + 3/2O2 + (O)melt = (SO4)melt∙ In the binary silicate melts there must be three kinds of oxygen atoms present: those bonded to two silicon atoms, those bonded to one silicon and those unattached to silicon. Their proportions are presumably connected by an equilibrium of the type O2– + </w:instrText>
      </w:r>
      <w:r w:rsidR="00D66D9A">
        <w:rPr>
          <w:rFonts w:ascii="Cambria Math" w:hAnsi="Cambria Math" w:cs="Cambria Math"/>
        </w:rPr>
        <w:instrText>⋮</w:instrText>
      </w:r>
      <w:r w:rsidR="00D66D9A">
        <w:rPr>
          <w:rFonts w:ascii="Times New Roman" w:hAnsi="Times New Roman"/>
        </w:rPr>
        <w:instrText xml:space="preserve"> Si-O-Si </w:instrText>
      </w:r>
      <w:r w:rsidR="00D66D9A">
        <w:rPr>
          <w:rFonts w:ascii="Cambria Math" w:hAnsi="Cambria Math" w:cs="Cambria Math"/>
        </w:rPr>
        <w:instrText>⋮</w:instrText>
      </w:r>
      <w:r w:rsidR="00D66D9A">
        <w:rPr>
          <w:rFonts w:ascii="Times New Roman" w:hAnsi="Times New Roman"/>
        </w:rPr>
        <w:instrText xml:space="preserve"> = 2(</w:instrText>
      </w:r>
      <w:r w:rsidR="00D66D9A">
        <w:rPr>
          <w:rFonts w:ascii="Cambria Math" w:hAnsi="Cambria Math" w:cs="Cambria Math"/>
        </w:rPr>
        <w:instrText>⋮</w:instrText>
      </w:r>
      <w:r w:rsidR="00D66D9A">
        <w:rPr>
          <w:rFonts w:ascii="Times New Roman" w:hAnsi="Times New Roman"/>
        </w:rPr>
        <w:instrText xml:space="preserve"> Si-O¯). From the manner in which both the sulphide and sulphate equilibria depend upon the proportions of metal oxide present, it appears that only the oxygen atoms which are unattached to silicon are of importance so far as these equilibria are concerned. The potential capacity of a melt to hold sulphur as sulphide is expressed as its sulphide capacity Cs = (wt. % S) (pO2)½/(ps2)½. For binary silicate and aluminate melts there is a close parallelism between the value of this capacity and the activity of the basic metal oxide. The activity coefficients for CaS have been found to be the same as for CaSO4 and approximately constant in CaO-SiO2 mixtures. The sulphide equilibrium results have been used to improve the free energy of formation curve for the formation of CaO-SiO2 melts, and to construct a similar curve for CaO-Al2O3 melts. The temperature coefficient of the sulphide capacity for CaO-SiO2 melts has been combined with other data and used to extend the heat of formation curve for CaO-SiO2 melts. The sulphur capacities, and presumably the lime activities, of the ternary melts CaO-SiO2 -Al2O3, have been shown to be a maximum at compositions for which the molar proportions of SiO2 and Al2O3are equal; this behaviour would be expected because the energy of interaction of SiO2 and Al2O3 is much greater than that of either CaO and SiO2 or CaO and Al2O3. It follows the patter…","author":[{"dropping-particle":"","family":"Fincham","given":"C. J. B.","non-dropping-particle":"","parse-names":false,"suffix":""},{"dropping-particle":"","family":"Richardson","given":"Frederick Denys","non-dropping-particle":"","parse-names":false,"suffix":""}],"container-title":"Proceedings of the Royal Society of London. Series A. Mathematical and Physical Sciences","id":"ITEM-1","issue":"1152","issued":{"date-parts":[["1954","4","7"]]},"page":"40-62","title":"The behaviour of sulphur in silicate and aluminate melts","type":"article-journal","volume":"223"},"uris":["http://www.mendeley.com/documents/?uuid=96cd2846-d4eb-3263-96b4-77a2c5011472"]},{"id":"ITEM-2","itemData":{"DOI":"10.2113/gscanmin.39.2.331","ISSN":"0008-4476","author":[{"dropping-particle":"","family":"Paris","given":"E.","non-dropping-particle":"","parse-names":false,"suffix":""},{"dropping-particle":"","family":"Giuli","given":"G.","non-dropping-particle":"","parse-names":false,"suffix":""},{"dropping-particle":"","family":"Carroll","given":"M. R.","non-dropping-particle":"","parse-names":false,"suffix":""},{"dropping-particle":"","family":"Davoli","given":"I.","non-dropping-particle":"","parse-names":false,"suffix":""}],"container-title":"The Canadian Mineralogist","id":"ITEM-2","issue":"2","issued":{"date-parts":[["2001","4","1"]]},"page":"331-339","publisher":"GeoScienceWorld","title":"The valence and speciation of sulfur in glasses by X-ray absorption spectroscopy","type":"article-journal","volume":"39"},"uris":["http://www.mendeley.com/documents/?uuid=6055a6cd-f47b-3277-81ab-7b90b5ccd72e"]},{"id":"ITEM-3","itemData":{"DOI":"10.1016/J.GCA.2009.01.025","ISSN":"0016-7037","abstract":"Sulfur K-edge X-ray absorption near edge structure (XANES) spectra were recorded for experimental glasses of various compositions prepared at different oxygen fugacities (fO2) in one-atmosphere gas-mixing experiments at 1400°C. This sample preparation method only results in measurable S concentrations under either relatively reduced (logfO2&lt;−9) or oxidised (logfO2&gt;−2) conditions. The XANES spectra of the reduced samples are characterised by an absorption edge crest at 2476.4eV, typical of S2−. In addition, spectra of Fe-bearing compositions exhibit a pronounced absorption edge shoulder. Spectra for all the Fe-free samples are essentially identical, as are the spectra for the Fe-bearing compositions, despite significant compositional variability within each group. The presence of a sulfide phase, such as might exsolve on cooling, can be inferred from a pre-edge feature at 2470.5eV. The XANES spectra of the oxidised samples are characterised by an intense transition at 2482.1eV, typical of the sulfate anion SO42−. Sulfite (SO32−) has negligible solubility in silicate melts at low pressures. The previous identification of sulfite species in natural glass samples is attributed to an artefact of the analysis (photoreduction of S6+). S4+ does, however, occur unambiguously with S6+ in Fe-free and Fe-poor compositions prepared in equilibrium with CaSO4 at 4–16kbar, and when buffered with Re/ReO2 at 10kbar. Solubility of S4+ thus requires partial pressures of SO2 considerably in excess of 1bar. A number of experiments were undertaken in an attempt to access intermediate fO2s more applicable to terrestrial volcanism. Although these were largely unsuccessful, S2− and S6+ were found to coexist in some samples that were not in equilibrium with the imposed fO2. The XANES spectra of natural olivine-hosted melt inclusions and submarine glasses representative of basalts at, or close to, sulfide saturation show mainly dissolved S2−, but with minor sulfate, and additionally a peak at 2469.5eV, which, although presumably due to immiscible sulfide, is 1eV lower than that typical of FeS. These sulfate and sulfide-related peaks disappear with homogenisation of the inclusions by heating to 1200°C followed by rapid quenching, suggesting that both these features are a result of cooling under natural conditions. The presence of small amounts of sulfate in otherwise reduced basaltic magmas may be explained by the electron exchange reaction: S2−+8Fe3+=S6++8Fe2+, which is expected t…","author":[{"dropping-particle":"","family":"Métrich","given":"Nicole","non-dropping-particle":"","parse-names":false,"suffix":""},{"dropping-particle":"","family":"Berry","given":"Andrew J.","non-dropping-particle":"","parse-names":false,"suffix":""},{"dropping-particle":"","family":"O’Neill","given":"Hugh St.C.","non-dropping-particle":"","parse-names":false,"suffix":""},{"dropping-particle":"","family":"Susini","given":"Jean","non-dropping-particle":"","parse-names":false,"suffix":""}],"container-title":"Geochimica et Cosmochimica Acta","id":"ITEM-3","issue":"8","issued":{"date-parts":[["2009","4","15"]]},"page":"2382-2399","publisher":"Pergamon","title":"The oxidation state of sulfur in synthetic and natural glasses determined by X-ray absorption spectroscopy","type":"article-journal","volume":"73"},"uris":["http://www.mendeley.com/documents/?uuid=34889541-bb2d-3e29-8cff-b345986aefde"]},{"id":"ITEM-4","itemData":{"DOI":"10.2138/rmg.2011.73.3","ISSN":"1529-6466","abstract":"Spectroscopic methods are powerful means to obtain information on the electronic or local structure of materials. By these methods, constraints can be provided on the chemical state, crystal chemistry or, in non-crystalline materials, the coordination environment or complexation of a given element. In this chapter, we focus on spectroscopic techniques that provide direct insight into the sulfur (S) species present in glasses and melts and which are applicable at the sulfur concentrations usually found in glasses (mostly below 1–2 wt%). Methods that are potentially suitable for this task are i) the wavelength analysis of X-ray emission spectra (mostly using the electron microprobe), ii) X-ray absorption spectroscopy, iii) 33S NMR and iv) Raman spectroscopy. For compounds such as sulfides or sulfates, containing S as a major component, further methods such as optical absorption spectroscopy in the UV-visible frequency range (UV-VIS) or electron spin/paramagnetic resonance (ESR or EPR) spectroscopy (e.g., Ross 1974; Wincott and Vaughan 2006) are useful. However, these two techniques provide only an indirect view on sulfur because they actually probe the cations, which are often transition metals. In compounds where S is a major component, these data also provide information on the sulfur species, because the cations are linked to S as an anion. In glasses, where S is only a minor component and cations are mostly coordinated by oxygen, it is difficult to link the observations made on the cation to the S species. Nevertheless, there are some studies on glasses where the additional information by UV-VIS or ESR spectroscopy was used to constrain possible species of sulfur in the glass (e.g., Beerkens 2003; Bingham et al. 2010). Here, only very brief introductions to the spectroscopic techniques will be provided. For a more detailed introduction to the spectroscopic techniques introduced here the reader is …","author":[{"dropping-particle":"","family":"Wilke","given":"Max","non-dropping-particle":"","parse-names":false,"suffix":""},{"dropping-particle":"","family":"Klimm","given":"Kevin","non-dropping-particle":"","parse-names":false,"suffix":""},{"dropping-particle":"","family":"Kohn","given":"S. C.","non-dropping-particle":"","parse-names":false,"suffix":""}],"container-title":"Reviews in Mineralogy and Geochemistry","id":"ITEM-4","issue":"1","issued":{"date-parts":[["2011","1","1"]]},"page":"41-78","publisher":"Mineralogical Society of America","title":"Spectroscopic studies on sulfur speciation in synthetic and natural glasses","type":"article-journal","volume":"73"},"uris":["http://www.mendeley.com/documents/?uuid=7a4c15bd-a1c2-3a85-b716-722e23fa92f4"]},{"id":"ITEM-5","itemData":{"DOI":"10.1093/petrology/43.6.1049","ISSN":"00223530","abstract":"The solubility of sulfur as S2 has been experimentally determined for 19 silicate melt compositions in the system CaOMgO-Al2O3-SiO2 (CMAS) ± TiO2 ± FeO, at 1400°C and 1 bar, using CO-CO2-SO2 gas mixtures to vary oxygen fugacity (fO2) and sulfur fugacity (fS2). For all compositions, the solubility is confirmed to be proportional to (fS2/fO2)1/2, allowing the definition of the sulfide capacity (Cs) of a silicate melt as Cs = [S](fO2/fS2)1/2. Additional experiments covering over 150 melt compositions, including some with Na and K, were then used to determine Cs as a function of melt composition at 1400°C. The results were fitted to the equation CS = AO + ∑MAMXM + BFe-TiXFeXTi, where AFe </w:instrText>
      </w:r>
      <w:r w:rsidR="00D66D9A">
        <w:rPr>
          <w:rFonts w:ascii="Cambria Math" w:hAnsi="Cambria Math" w:cs="Cambria Math"/>
        </w:rPr>
        <w:instrText>≫</w:instrText>
      </w:r>
      <w:r w:rsidR="00D66D9A">
        <w:rPr>
          <w:rFonts w:ascii="Times New Roman" w:hAnsi="Times New Roman"/>
        </w:rPr>
        <w:instrText xml:space="preserve"> ACa &gt; AMg,ANa/K,ATi. The FeO content of natural basalts is the dominant control on CS. The equation for CS was then combined with the equation for the thermodynamic equilibrium between silicate melt and immiscible FeS-rich sulfide melt, to develop an expression for the sulfur content at sulfide saturation (SCSS) of the silicate melt. The value of SCSS is independent of fO2 and fS2, but shows an asymmetric U-shaped dependence on the FeO content of the silicate melt. Many of the experiments on Fe-containing melt compositions were saturated with immiscible FeS melt, and these experiments were used to calibrate quantitatively SCSS at 1400°C as a function of melt composition.","author":[{"dropping-particle":"","family":"O'Neill","given":"Hugh St. C.","non-dropping-particle":"","parse-names":false,"suffix":""},{"dropping-particle":"","family":"Mavrogenes","given":"John A.","non-dropping-particle":"","parse-names":false,"suffix":""}],"container-title":"Journal of Petrology","id":"ITEM-5","issue":"6","issued":{"date-parts":[["2002","6","1"]]},"page":"1049-1087","publisher":"Oxford Academic","title":"The sulfide capacity and the sulfur content at sulfide saturation of silicate melts at 1400°C and 1 bar","type":"article-journal","volume":"43"},"uris":["http://www.mendeley.com/documents/?uuid=fa1be182-e32a-3e7a-9548-d65b2dec32f2"]},{"id":"ITEM-6","itemData":{"DOI":"10.1016/J.GCA.2022.06.020","ISSN":"0016-7037","author":[{"dropping-particle":"","family":"O'Neill","given":"Hugh St. C.","non-dropping-particle":"","parse-names":false,"suffix":""},{"dropping-particle":"","family":"Mavrogenes","given":"John A.","non-dropping-particle":"","parse-names":false,"suffix":""}],"container-title":"Geochimica et Cosmochimica Acta","id":"ITEM-6","issued":{"date-parts":[["2022","6","27"]]},"publisher":"Pergamon","title":"The sulfate capacities of silicate melts","type":"article-journal"},"uris":["http://www.mendeley.com/documents/?uuid=28383afe-41b6-312f-a795-212a394fed74"]},{"id":"ITEM-7","itemData":{"DOI":"10.1002/9781119473206.ch10","abstract":"A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R.","non-dropping-particle":"","parse-names":false,"suffix":""}],"id":"ITEM-7","issued":{"date-parts":[["2021"]]},"page":"177-213","publisher":"John Wiley &amp; Sons, Inc.","title":"The thermodynamic controls on sulfide saturation in silicate melts with application to Ocean Floor Basalts.","type":"chapter"},"uris":["http://www.mendeley.com/documents/?uuid=6f3ae3ca-6ecd-3137-8bfc-f37a8f3fea2a"]},{"id":"ITEM-8","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150-164","id":"ITEM-8","issued":{"date-parts":[["2022"]]},"page":"150-164","title":"SO2 solubility and degassing behavior in silicate melts","type":"article-journal","volume":"336"},"uris":["http://www.mendeley.com/documents/?uuid=7eb4d60b-d94d-440e-bd68-afce2f65efa3"]}],"mendeley":{"formattedCitation":"(Boulliung and Wood, 2022; Fincham and Richardson, 1954; Métrich et al., 2009; O’Neill, 2021; O’Neill and Mavrogenes, 2022, 2002; Paris et al., 2001; Wilke et al., 2011)","manualFormatting":"(e.g., Boulliung and Wood, 2022; Fincham and Richardson, 1954; Métrich et al., 2009; O’Neill, 2021; O’Neill and Mavrogenes, 2022, 2002; Paris et al., 2001; Wilke et al., 2011)","plainTextFormattedCitation":"(Boulliung and Wood, 2022; Fincham and Richardson, 1954; Métrich et al., 2009; O’Neill, 2021; O’Neill and Mavrogenes, 2022, 2002; Paris et al., 2001; Wilke et al., 2011)","previouslyFormattedCitation":"(Boulliung and Wood, 2022; Fincham and Richardson, 1954; Métrich et al., 2009; O’Neill, 2021; O’Neill and Mavrogenes, 2022, 2002; Paris et al., 2001; Wilke et al., 2011)"},"properties":{"noteIndex":0},"schema":"https://github.com/citation-style-language/schema/raw/master/csl-citation.json"}</w:instrText>
      </w:r>
      <w:r w:rsidR="00225C80">
        <w:rPr>
          <w:rFonts w:ascii="Times New Roman" w:hAnsi="Times New Roman"/>
        </w:rPr>
        <w:fldChar w:fldCharType="separate"/>
      </w:r>
      <w:r w:rsidR="00D66D9A" w:rsidRPr="00D66D9A">
        <w:rPr>
          <w:rFonts w:ascii="Times New Roman" w:hAnsi="Times New Roman"/>
          <w:noProof/>
        </w:rPr>
        <w:t>(</w:t>
      </w:r>
      <w:r w:rsidR="00D66D9A">
        <w:rPr>
          <w:rFonts w:ascii="Times New Roman" w:hAnsi="Times New Roman"/>
          <w:noProof/>
        </w:rPr>
        <w:t xml:space="preserve">e.g., </w:t>
      </w:r>
      <w:r w:rsidR="00D66D9A" w:rsidRPr="00D66D9A">
        <w:rPr>
          <w:rFonts w:ascii="Times New Roman" w:hAnsi="Times New Roman"/>
          <w:noProof/>
        </w:rPr>
        <w:t>Boulliung and Wood, 2022; Fincham and Richardson, 1954; Métrich et al., 2009; O’Neill, 2021; O’Neill and Mavrogenes, 2022, 2002; Paris et al., 2001; Wilke et al., 2011)</w:t>
      </w:r>
      <w:r w:rsidR="00225C80">
        <w:rPr>
          <w:rFonts w:ascii="Times New Roman" w:hAnsi="Times New Roman"/>
        </w:rPr>
        <w:fldChar w:fldCharType="end"/>
      </w:r>
      <w:r>
        <w:rPr>
          <w:rFonts w:ascii="Times New Roman" w:hAnsi="Times New Roman" w:cs="Times New Roman"/>
        </w:rPr>
        <w:t>.</w:t>
      </w:r>
      <w:r w:rsidRPr="001054A1">
        <w:rPr>
          <w:rFonts w:ascii="Times New Roman" w:hAnsi="Times New Roman" w:cs="Times New Roman"/>
        </w:rPr>
        <w:t xml:space="preserve"> </w:t>
      </w:r>
      <w:r>
        <w:rPr>
          <w:rFonts w:ascii="Times New Roman" w:hAnsi="Times New Roman" w:cs="Times New Roman"/>
        </w:rPr>
        <w:t>T</w:t>
      </w:r>
      <w:r w:rsidRPr="001054A1">
        <w:rPr>
          <w:rFonts w:ascii="Times New Roman" w:hAnsi="Times New Roman" w:cs="Times New Roman"/>
        </w:rPr>
        <w:t>here is currently no evidence for other valence states or species (e.g., S</w:t>
      </w:r>
      <w:r w:rsidRPr="001054A1">
        <w:rPr>
          <w:rFonts w:ascii="Times New Roman" w:hAnsi="Times New Roman" w:cs="Times New Roman"/>
          <w:vertAlign w:val="superscript"/>
        </w:rPr>
        <w:t>4+</w:t>
      </w:r>
      <w:r w:rsidRPr="001054A1">
        <w:rPr>
          <w:rFonts w:ascii="Times New Roman" w:hAnsi="Times New Roman" w:cs="Times New Roman"/>
        </w:rPr>
        <w:t>) in silicate melts</w:t>
      </w:r>
      <w:r w:rsidR="00225C80">
        <w:rPr>
          <w:rFonts w:ascii="Times New Roman" w:hAnsi="Times New Roman" w:cs="Times New Roman"/>
        </w:rPr>
        <w:t xml:space="preserve"> </w:t>
      </w:r>
      <w:r w:rsidR="00225C80">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{"citationItems":[{"id":"ITEM-1","itemData":{"DOI":"https://doi.org/10.2138/am.2008.2765","abstract":"The origin of sulfite (S4+) species in silicate glasses was evaluated using XANES at the S K-edge. Systematic investigations show that the presence of S4+ species in silicate glasses is an analytical artifact related to changes in the sulfur species caused by irradiation with an electron beam during EMPA or by irradiation with an intense focused X-ray beam during synchrotron analysis. The data shown here indicate that S2- and S6+ are the only significant sulfur species occurring in silicate glasses synthesized under geologically relevant conditions.","author":[{"dropping-particle":"","family":"Wilke","given":"Max","non-dropping-particle":"","parse-names":false,"suffix":""},{"dropping-particle":"","family":"Jugo","given":"Pedro J.","non-dropping-particle":"","parse-names":false,"suffix":""},{"dropping-particle":"","family":"Klimm","given":"Kevin","non-dropping-particle":"","parse-names":false,"suffix":""},{"dropping-particle":"","family":"Susini","given":"J.","non-dropping-particle":"","parse-names":false,"suffix":""},{"dropping-particle":"","family":"Botcharnikov","given":"Roman E.","non-dropping-particle":"","parse-names":false,"suffix":""},{"dropping-particle":"","family":"Kohn","given":"S. C.","non-dropping-particle":"","parse-names":false,"suffix":""},{"dropping-particle":"","family":"Janousch","given":"M.","non-dropping-particle":"","parse-names":false,"suffix":""}],"container-title":"American Mineralogist","id":"ITEM-1","issue":"1","issued":{"date-parts":[["2008"]]},"title":"The origin of S4+ detected in silicate glasses by XANES","type":"article-journal","volume":"93"},"uris":["http://www.mendeley.com/documents/?uuid=67a70e14-744c-446e-affc-7c3340944d9a"]}],"mendeley":{"formattedCitation":"(Wilke et al., 2008)","plainTextFormattedCitation":"(Wilke et al., 2008)","previouslyFormattedCitation":"(Wilke et al., 2008)"},"properties":{"noteIndex":0},"schema":"https://github.com/citation-style-language/schema/raw/master/csl-citation.json"}</w:instrText>
      </w:r>
      <w:r w:rsidR="00225C80">
        <w:rPr>
          <w:rFonts w:ascii="Times New Roman" w:hAnsi="Times New Roman" w:cs="Times New Roman"/>
        </w:rPr>
        <w:fldChar w:fldCharType="separate"/>
      </w:r>
      <w:r w:rsidR="000F0BD4" w:rsidRPr="000F0BD4">
        <w:rPr>
          <w:rFonts w:ascii="Times New Roman" w:hAnsi="Times New Roman" w:cs="Times New Roman"/>
          <w:noProof/>
        </w:rPr>
        <w:t>(Wilke et al., 2008)</w:t>
      </w:r>
      <w:r w:rsidR="00225C80">
        <w:rPr>
          <w:rFonts w:ascii="Times New Roman" w:hAnsi="Times New Roman" w:cs="Times New Roman"/>
        </w:rPr>
        <w:fldChar w:fldCharType="end"/>
      </w:r>
      <w:r w:rsidRPr="001054A1">
        <w:rPr>
          <w:rFonts w:ascii="Times New Roman" w:hAnsi="Times New Roman" w:cs="Times New Roman"/>
        </w:rPr>
        <w:t xml:space="preserve">. Hence, the total dissolved </w:t>
      </w:r>
      <w:proofErr w:type="spellStart"/>
      <w:r w:rsidRPr="001054A1">
        <w:rPr>
          <w:rFonts w:ascii="Times New Roman" w:hAnsi="Times New Roman" w:cs="Times New Roman"/>
        </w:rPr>
        <w:t>sulfur</w:t>
      </w:r>
      <w:proofErr w:type="spellEnd"/>
      <w:r w:rsidRPr="001054A1">
        <w:rPr>
          <w:rFonts w:ascii="Times New Roman" w:hAnsi="Times New Roman" w:cs="Times New Roman"/>
        </w:rPr>
        <w:t xml:space="preserve"> content (S</w:t>
      </w:r>
      <w:r w:rsidRPr="001054A1">
        <w:rPr>
          <w:rFonts w:ascii="Times New Roman" w:hAnsi="Times New Roman" w:cs="Times New Roman"/>
          <w:vertAlign w:val="subscript"/>
        </w:rPr>
        <w:t>T</w:t>
      </w:r>
      <w:r w:rsidRPr="001054A1">
        <w:rPr>
          <w:rFonts w:ascii="Times New Roman" w:hAnsi="Times New Roman" w:cs="Times New Roman"/>
        </w:rPr>
        <w:t xml:space="preserve">) of the silicate melt is: </w:t>
      </w:r>
    </w:p>
    <w:p w14:paraId="0AA584FF" w14:textId="51CDCD3A" w:rsidR="001054A1" w:rsidRPr="00E31290" w:rsidRDefault="00063B50" w:rsidP="00E31290">
      <w:pPr>
        <w:pStyle w:val="equation"/>
      </w:pPr>
      <m:oMathPara>
        <m:oMath>
          <m:eqArr>
            <m:eqArrPr>
              <m:maxDist m:val="1"/>
              <m:ctrlPr>
                <w:rPr>
                  <w:rFonts w:ascii="Cambria Math" w:hAnsi="Cambria Math"/>
                </w:rPr>
              </m:ctrlPr>
            </m:eqArrPr>
            <m:e>
              <m:sSubSup>
                <m:sSubSupPr>
                  <m:ctrlPr>
                    <w:rPr>
                      <w:rFonts w:ascii="Cambria Math" w:hAnsi="Cambria Math"/>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sub>
                <m:sup>
                  <m:r>
                    <w:rPr>
                      <w:rFonts w:ascii="Cambria Math" w:hAnsi="Cambria Math"/>
                    </w:rPr>
                    <m:t>m</m:t>
                  </m:r>
                </m:sup>
              </m:sSubSup>
              <m:r>
                <m:rPr>
                  <m:sty m:val="p"/>
                </m:rPr>
                <w:rPr>
                  <w:rFonts w:ascii="Cambria Math" w:hAnsi="Cambria Math"/>
                </w:rPr>
                <m:t>=</m:t>
              </m:r>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r>
                <m:rPr>
                  <m:sty m:val="p"/>
                </m:rPr>
                <w:rPr>
                  <w:rFonts w:ascii="Cambria Math" w:hAnsi="Cambria Math"/>
                </w:rPr>
                <m:t>+</m:t>
              </m:r>
              <m:sSubSup>
                <m:sSubSupPr>
                  <m:ctrlPr>
                    <w:rPr>
                      <w:rFonts w:ascii="Cambria Math" w:hAnsi="Cambria Math"/>
                    </w:rPr>
                  </m:ctrlPr>
                </m:sSubSupPr>
                <m:e>
                  <m:r>
                    <w:rPr>
                      <w:rFonts w:ascii="Cambria Math" w:hAnsi="Cambria Math"/>
                    </w:rPr>
                    <m:t>x</m:t>
                  </m:r>
                </m:e>
                <m:sub>
                  <m:r>
                    <m:rPr>
                      <m:sty m:val="p"/>
                    </m:rPr>
                    <w:rPr>
                      <w:rFonts w:ascii="Cambria Math" w:hAnsi="Cambria Math"/>
                    </w:rPr>
                    <m:t>S</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4</m:t>
                      </m:r>
                    </m:sub>
                    <m:sup>
                      <m:r>
                        <m:rPr>
                          <m:sty m:val="p"/>
                        </m:rPr>
                        <w:rPr>
                          <w:rFonts w:ascii="Cambria Math" w:hAnsi="Cambria Math"/>
                        </w:rPr>
                        <m:t>2-</m:t>
                      </m:r>
                    </m:sup>
                  </m:sSubSup>
                </m:sub>
                <m:sup>
                  <m:r>
                    <w:rPr>
                      <w:rFonts w:ascii="Cambria Math" w:hAnsi="Cambria Math"/>
                    </w:rPr>
                    <m:t>m</m:t>
                  </m:r>
                </m:sup>
              </m:sSubSup>
              <m:r>
                <m:rPr>
                  <m:sty m:val="p"/>
                </m:rPr>
                <w:rPr>
                  <w:rFonts w:ascii="Cambria Math" w:hAnsi="Cambria Math"/>
                </w:rPr>
                <m:t>. #</m:t>
              </m:r>
              <m:d>
                <m:dPr>
                  <m:ctrlPr>
                    <w:rPr>
                      <w:rFonts w:ascii="Cambria Math" w:hAnsi="Cambria Math"/>
                    </w:rPr>
                  </m:ctrlPr>
                </m:dPr>
                <m:e>
                  <m:r>
                    <m:rPr>
                      <m:sty m:val="p"/>
                    </m:rPr>
                    <w:rPr>
                      <w:rFonts w:ascii="Cambria Math" w:hAnsi="Cambria Math"/>
                    </w:rPr>
                    <m:t>S31</m:t>
                  </m:r>
                </m:e>
              </m:d>
            </m:e>
          </m:eqArr>
        </m:oMath>
      </m:oMathPara>
    </w:p>
    <w:p w14:paraId="0AEBF33F" w14:textId="03D48E77" w:rsidR="001054A1" w:rsidRPr="001054A1" w:rsidRDefault="001054A1" w:rsidP="00147AF9">
      <w:pPr>
        <w:pStyle w:val="NoSpacing"/>
        <w:ind w:firstLine="720"/>
        <w:jc w:val="both"/>
        <w:rPr>
          <w:rFonts w:ascii="Times New Roman" w:hAnsi="Times New Roman"/>
        </w:rPr>
      </w:pPr>
      <w:proofErr w:type="spellStart"/>
      <w:r>
        <w:rPr>
          <w:rFonts w:ascii="Times New Roman" w:hAnsi="Times New Roman"/>
        </w:rPr>
        <w:t>S</w:t>
      </w:r>
      <w:r w:rsidRPr="001054A1">
        <w:rPr>
          <w:rFonts w:ascii="Times New Roman" w:hAnsi="Times New Roman"/>
        </w:rPr>
        <w:t>ul</w:t>
      </w:r>
      <w:r w:rsidR="008D4EA7">
        <w:rPr>
          <w:rFonts w:ascii="Times New Roman" w:hAnsi="Times New Roman"/>
        </w:rPr>
        <w:t>f</w:t>
      </w:r>
      <w:r w:rsidRPr="001054A1">
        <w:rPr>
          <w:rFonts w:ascii="Times New Roman" w:hAnsi="Times New Roman"/>
        </w:rPr>
        <w:t>ur</w:t>
      </w:r>
      <w:proofErr w:type="spellEnd"/>
      <w:r w:rsidRPr="001054A1">
        <w:rPr>
          <w:rFonts w:ascii="Times New Roman" w:hAnsi="Times New Roman"/>
        </w:rPr>
        <w:t xml:space="preserve"> dissolution as </w:t>
      </w:r>
      <w:r w:rsidR="00BD449C">
        <w:rPr>
          <w:rFonts w:ascii="Times New Roman" w:hAnsi="Times New Roman"/>
        </w:rPr>
        <w:t>S</w:t>
      </w:r>
      <w:r w:rsidR="00BD449C" w:rsidRPr="00BD449C">
        <w:rPr>
          <w:rFonts w:ascii="Times New Roman" w:hAnsi="Times New Roman"/>
          <w:vertAlign w:val="superscript"/>
        </w:rPr>
        <w:t>2-</w:t>
      </w:r>
      <w:r w:rsidRPr="001054A1">
        <w:rPr>
          <w:rFonts w:ascii="Times New Roman" w:hAnsi="Times New Roman"/>
        </w:rPr>
        <w:t xml:space="preserve"> replaces O</w:t>
      </w:r>
      <w:r w:rsidRPr="001054A1">
        <w:rPr>
          <w:rFonts w:ascii="Times New Roman" w:hAnsi="Times New Roman"/>
          <w:vertAlign w:val="superscript"/>
        </w:rPr>
        <w:t>2-</w:t>
      </w:r>
      <w:r w:rsidRPr="001054A1">
        <w:rPr>
          <w:rFonts w:ascii="Times New Roman" w:hAnsi="Times New Roman"/>
        </w:rPr>
        <w:t xml:space="preserve"> in the silicate melt</w:t>
      </w:r>
      <w:r w:rsidR="00E55461">
        <w:rPr>
          <w:rFonts w:ascii="Times New Roman" w:hAnsi="Times New Roman"/>
        </w:rPr>
        <w:t xml:space="preserve"> </w:t>
      </w:r>
      <w:r w:rsidR="00E55461">
        <w:rPr>
          <w:rFonts w:ascii="Times New Roman" w:hAnsi="Times New Roman"/>
        </w:rPr>
        <w:fldChar w:fldCharType="begin" w:fldLock="1"/>
      </w:r>
      <w:r w:rsidR="00E0491E">
        <w:rPr>
          <w:rFonts w:ascii="Times New Roman" w:hAnsi="Times New Roman"/>
        </w:rPr>
        <w:instrText xml:space="preserve">ADDIN CSL_CITATION {"citationItems":[{"id":"ITEM-1","itemData":{"DOI":"10.1098/rspa.1954.0099","abstract":"As part of a general programme of research on the nature of inorganic melts, a study has been made of the manner in which sulphur is held in liquid silicates and aluminates. Mixtures of CaO-SiO2, MgO-SiO2, FeO-SiO2, CaO-Al2O3 and CaO-SiO2-Al2O3 have been brought into equilibrium, at temperatures between 1350 and 1650°C, with gas phases made by mixing H2, CO2 and SO2 at room temperature. It has been shown that, when pO2 is less than about 10–5 atm, a sulphur atom can only enter the melt by displacing a suitable oxygen atom. The sulphur is then held in the slag entirely as sulphide, its concentration being controlled by the general equilibrium, ½S2 + (O)melt = ½O2 + (S)melt. When pO2 is greater than about 10-3 atm, the sulphur is held as sulphate and the corresponding equilibrium is ½S2 + 3/2O2 + (O)melt = (SO4)melt∙ In the binary silicate melts there must be three kinds of oxygen atoms present: those bonded to two silicon atoms, those bonded to one silicon and those unattached to silicon. Their proportions are presumably connected by an equilibrium of the type O2– + </w:instrText>
      </w:r>
      <w:r w:rsidR="00E0491E">
        <w:rPr>
          <w:rFonts w:ascii="Cambria Math" w:hAnsi="Cambria Math" w:cs="Cambria Math"/>
        </w:rPr>
        <w:instrText>⋮</w:instrText>
      </w:r>
      <w:r w:rsidR="00E0491E">
        <w:rPr>
          <w:rFonts w:ascii="Times New Roman" w:hAnsi="Times New Roman"/>
        </w:rPr>
        <w:instrText xml:space="preserve"> Si-O-Si </w:instrText>
      </w:r>
      <w:r w:rsidR="00E0491E">
        <w:rPr>
          <w:rFonts w:ascii="Cambria Math" w:hAnsi="Cambria Math" w:cs="Cambria Math"/>
        </w:rPr>
        <w:instrText>⋮</w:instrText>
      </w:r>
      <w:r w:rsidR="00E0491E">
        <w:rPr>
          <w:rFonts w:ascii="Times New Roman" w:hAnsi="Times New Roman"/>
        </w:rPr>
        <w:instrText xml:space="preserve"> = 2(</w:instrText>
      </w:r>
      <w:r w:rsidR="00E0491E">
        <w:rPr>
          <w:rFonts w:ascii="Cambria Math" w:hAnsi="Cambria Math" w:cs="Cambria Math"/>
        </w:rPr>
        <w:instrText>⋮</w:instrText>
      </w:r>
      <w:r w:rsidR="00E0491E">
        <w:rPr>
          <w:rFonts w:ascii="Times New Roman" w:hAnsi="Times New Roman"/>
        </w:rPr>
        <w:instrText xml:space="preserve"> Si-O¯). From the manner in which both the sulphide and sulphate equilibria depend upon the proportions of metal oxide present, it appears that only the oxygen atoms which are unattached to silicon are of importance so far as these equilibria are concerned. The potential capacity of a melt to hold sulphur as sulphide is expressed as its sulphide capacity Cs = (wt. % S) (pO2)½/(ps2)½. For binary silicate and aluminate melts there is a close parallelism between the value of this capacity and the activity of the basic metal oxide. The activity coefficients for CaS have been found to be the same as for CaSO4 and approximately constant in CaO-SiO2 mixtures. The sulphide equilibrium results have been used to improve the free energy of formation curve for the formation of CaO-SiO2 melts, and to construct a similar curve for CaO-Al2O3 melts. The temperature coefficient of the sulphide capacity for CaO-SiO2 melts has been combined with other data and used to extend the heat of formation curve for CaO-SiO2 melts. The sulphur capacities, and presumably the lime activities, of the ternary melts CaO-SiO2 -Al2O3, have been shown to be a maximum at compositions for which the molar proportions of SiO2 and Al2O3are equal; this behaviour would be expected because the energy of interaction of SiO2 and Al2O3 is much greater than that of either CaO and SiO2 or CaO and Al2O3. It follows the patter…","author":[{"dropping-particle":"","family":"Fincham","given":"C. J. B.","non-dropping-particle":"","parse-names":false,"suffix":""},{"dropping-particle":"","family":"Richardson","given":"Frederick Denys","non-dropping-particle":"","parse-names":false,"suffix":""}],"container-title":"Proceedings of the Royal Society of London. Series A. Mathematical and Physical Sciences","id":"ITEM-1","issue":"1152","issued":{"date-parts":[["1954","4","7"]]},"page":"40-62","title":"The behaviour of sulphur in silicate and aluminate melts","type":"article-journal","volume":"223"},"uris":["http://www.mendeley.com/documents/?uuid=96cd2846-d4eb-3263-96b4-77a2c5011472"]},{"id":"ITEM-2","itemData":{"DOI":"10.1038/nature10460","ISSN":"00280836","PMID":"21993759","abstract":"The Precambrian history of our planet is marked by two major events: a pulse of continental crust formation at the end of the Archaean eon and a weak oxygenation of the atmosphere (the Great Oxidation Event) that followed, at 2.45 billion years ago. This oxygenation has been linked to the emergence of oxygenic cyanobacteria and to changes in the compositions of volcanic gases, but not to the composition of erupting lavas-geochemical constraints indicate that the oxidation state of basalts and their mantle sources has remained constant since 3.5 billion years ago. Here we propose that a decrease in the average pressure of volcanic degassing changed the oxidation state of sulphur in volcanic gases, initiating the modern biogeochemical sulphur cycle and triggering atmospheric oxygenation. Using thermodynamic calculations simulating gas-melt equilibria in erupting magmas, we suggest that mostly submarine Archaean volcanoes produced gases with SO 2/H 2S &lt; 1 and low sulphur content. Emergence of the continents due to a global decrease in sea level and growth of the continental crust in the late Archaean then led to widespread subaerial volcanism, which in turn yielded gases much richer in sulphur and dominated by SO 2. Dissolution of sulphur in sea water and the onset of sulphate reduction processes could then oxidize the atmosphere. © 2011 Macmillan Publishers Limited. All rights reserved.","author":[{"dropping-particle":"","family":"Gaillard","given":"Fabrice","non-dropping-particle":"","parse-names":false,"suffix":""},{"dropping-particle":"","family":"Scaillet","given":"Bruno","non-dropping-particle":"","parse-names":false,"suffix":""},{"dropping-particle":"","family":"Arndt","given":"Nicholas T.","non-dropping-particle":"","parse-names":false,"suffix":""}],"container-title":"Nature","id":"ITEM-2","issue":"7368","issued":{"date-parts":[["2011","10","13"]]},"page":"229-232","publisher":"Nature Publishing Group","title":"Atmospheric oxygenation caused by a change in volcanic degassing pressure","type":"article-journal","volume":"478"},"uris":["http://www.mendeley.com/documents/?uuid=0a5f2ab6-44f8-3e27-82d5-388dcdac4a17"]},{"id":"ITEM-3","itemData":{"DOI":"10.1016/j.icarus.2017.06.016","ISSN":"10902643","abstract":"Mantle-derived volcanic rocks on Mars display physical and chemical commonalities with mafic-ultramafic ferropicrite and komatiite volcanism on the Earth. Terrestrial komatiites are common hosts of massive sulfide mineralization enriched in siderophile-chalcophile precious metals (i.e., Ni, Cu, and the platinum-group elements). These deposits correspond to the batch segregation and accumulation of immiscible sulfide liquids as a consequence of mechanical/thermo-mechanical erosion and assimilation of sulfur-rich bedrock during the turbulent flow of high-temperature and low-viscosity komatiite lava flows. This study adopts this mineralization model and presents numerical simulations of erosion and assimilation of sulfide- and sulfate-rich sedimentary substrates during the dynamic emplacement of (channelled) mafic-ultramafic lava flows on Mars. For sedimentary substrates containing adequate sulfide proportions (e.g., 1 wt% S), our simulations suggest that sulfide supersaturation in low-temperature (&amp;#x003C; 1350 °C) flows could be attained at &amp;#x003C; 200 km distance, but may be postponed in high-temperature lavas flows (&amp;#x003E; 1400 °C). The precious-metals tenor in the derived immiscible sulfide liquids may be significantly upgraded as a result of their prolonged equilibration with large volumes of silicate melts along flow conduits. The influence of sulfate assimilation on sulfide supersaturation in martian lava flows is addressed by simulations of melt-gas equilibration in the C[sbnd]H[sbnd]O[sbnd]S fluid system. However, prolonged sulfide segregation and deposit genesis by means of sulfate assimilation appears to be limited by lava oxidation and the release of sulfur-rich gas. The identification of massive sulfide endowments on Mars is not possible from remote sensing data. Yet the results of this study aid to define regions for the potential occurrence of such mineral systems, which may be the large canyon systems Noctis Labyrinthus and Valles Marineris, or the Hesperian channel systems of Mars’ highlands (e.g., Kasei Valles), most of which have been periodically draped by mafic-ultramafic lavas.","author":[{"dropping-particle":"","family":"Baumgartner","given":"Raphael J.","non-dropping-particle":"","parse-names":false,"suffix":""},{"dropping-particle":"","family":"Baratoux","given":"David","non-dropping-particle":"","parse-names":false,"suffix":""},{"dropping-particle":"","family":"Gaillard","given":"Fabrice","non-dropping-particle":"","parse-names":false,"suffix":""},{"dropping-particle":"","family":"Fiorentini","given":"Marco L.","non-dropping-particle":"","parse-names":false,"suffix":""}],"container-title":"Icarus","id":"ITEM-3","issued":{"date-parts":[["2017","11","1"]]},"page":"257-274","publisher":"Academic Press Inc.","title":"Numerical modelling of erosion and assimilation of sulfur-rich substrate by martian lava flows: Implications for the genesis of massive sulfide mineralization on Mars","type":"article-journal","volume":"296"},"uris":["http://www.mendeley.com/documents/?uuid=09260cbb-7afb-3f3e-8ca3-c81300b65f6e"]},{"id":"ITEM-4","itemData":{"DOI":"10.1016/J.EPSL.2008.12.028","ISSN":"0012-821X","abstract":"Both high sulfur contents of the martian regolith and lack of detection of extensive carbonate deposits suggest that the latest geological events that shaped the landscapes of Mars were dominated by acidic waters possibly related to appreciable SO2 concentrations in the atmosphere. On the basis of fundamental thermochemical principles, we model here the likely sulfur contents of (1) the martian and terrestrial mantles and (2) the volcanic gases delivered by the corresponding basaltic magmas. We find that the martian mantle contains at least 3–4 times as much sulfur as its terrestrial counterpart, yielding basaltic melts richer in sulfur than those on Earth. Such an S-enrichment is explained by contrasted redox conditions prevailing during magma ocean equilibration, which lead to distinct iron contents of the martian and terrestrial mantles and of their basaltic derivatives. Calculated volcanic gas compositions in equilibrium with a magma ocean sustaining a denser atmosphere are shown to be dominated by CO±CO2 and H2±H2O species, depending on fO2, sulfur species amounting to only ~1%. In contrast, volcanic gases supplied at later stages of Mars evolution, such as during the building of the Tharsis province, are shown to be significantly richer in sulfur, with S contents on average 10–100 times that of gases emitted by magmas on Earth. If degassing during such a period occurred in a tenuous atmosphere (1 bar or less), volcanic gases were dominated by SO2 rather than by H2S, which should have favored the acidification of any persistent water layer. The calculated amounts of S emitted by the Tharsis volcanic region turn out to be equivalent to a 20–60 m thick layer of sulfate minerals if uniformly covering the martian surface, in qualitative agreement with remote sensing of the martian regolith.","author":[{"dropping-particle":"","family":"Gaillard","given":"Fabrice","non-dropping-particle":"","parse-names":false,"suffix":""},{"dropping-particle":"","family":"Scaillet","given":"Bruno","non-dropping-particle":"","parse-names":false,"suffix":""}],"container-title":"Earth and Planetary Science Letters","id":"ITEM-4","issue":"1-2","issued":{"date-parts":[["2009","3","15"]]},"page":"34-43","publisher":"Elsevier","title":"The sulfur content of volcanic gases on Mars","type":"article-journal","volume":"279"},"uris":["http://www.mendeley.com/documents/?uuid=fa670a95-6a1d-3d14-bdf5-4db4a8123ee4"]},{"id":"ITEM-5","itemData":{"DOI":"10.1016/j.epsl.2014.07.009","ISSN":"0012821X","abstract":"Magmatic degassing is ubiquitous and enduring, yet its impact on both planetary surficial chemistry and how it may have varied among planetary systems remains imprecise. A large number of factors are likely to be involved in the control of magmatic gas compositions, leading roles being given to the redox state and volatile abundances in planetary interiors, and the fate of the latter during mantle melting. We however show that the pressure at which degassing occurs, that is the atmospheric pressure in most sensible cases, has a prime influence on the composition of subaerial volcanic gases on planets: high surface pressure produces N2- and CO2-rich and dry volcanic gases, while low pressure promotes sulfur-rich gases. In-between, atmospheric pressures close to 1 bar trigger volcanic gases dominated by H2O. This simple pattern broadly mirrors the atmospheres of Venus-Earth-Mars-Io planetary suite and constitutes benchmarks for the prediction and interpretation of atmospheric features of extra-solar planets. Volatile abundances within the planetary body interiors also matter but they play a secondary role. Furthermore, our analysis shows that any difference in redox conditions prevailing during partial melting tends to disappear with the degassing process itself, converging toward a unique - planetary oxygen fugacity - at the venting pressure. A feedback relationship between volcanic gas compositions and atmospheric pressure implies a runaway drying during atmospheric growth; that is volcanic gases must become CO2 richer as the atmospheric mass increases. This may explain some features of the Venusian atmosphere. On Earth, impact ejection of the atmosphere and CO2-sink mechanisms, such as carbonate precipitation and plate tectonics, must have decreased atmospheric pressure allowing the reestablishment of water-rich volcanic gases. © 2014 Elsevier B.V.","author":[{"dropping-particle":"","family":"Gaillard","given":"Fabrice","non-dropping-particle":"","parse-names":false,"suffix":""},{"dropping-particle":"","family":"Scaillet","given":"Bruno","non-dropping-particle":"","parse-names":false,"suffix":""}],"container-title":"Earth and Planetary Science Letters","id":"ITEM-5","issued":{"date-parts":[["2014","10","1"]]},"page":"307-316","publisher":"Elsevier","title":"A theoretical framework for volcanic degassing chemistry in a comparative planetology perspective and implications for planetary atmospheres","type":"article-journal","volume":"403"},"uris":["http://www.mendeley.com/documents/?uuid=0fb358bd-7897-3400-a66f-21fb009241be"]},{"id":"ITEM-6","itemData":{"DOI":"10.1007/s11214-012-9947-4","ISSN":"00386308","abstract":"Sulfate-dominated sedimentary deposits are widespread on the surface of Mars, which contrasts with the rarity of carbonate deposits, and indicates surface waters with chemical features drastically different from those on Earth. While the Earth's surface chemistry and climate are intimately tied to the carbon cycle, it is the sulfur cycle that most strongly influences the Martian geosystems. The presence of sulfate minerals observed from orbit and in-situ via surface exploration within sedimentary rocks and unconsolidated regolith traces a history of post-Noachian aqueous processes mediated by sulfur. These materials likely formed in water-limited aqueous conditions compared to environments indicated by clay minerals and localized carbonates that formed in surface and subsurface settings on early Mars. Constraining the timing of sulfur delivery to the Martian exosphere, as well as volcanogenic H2O is therefore central, as it combines with volcanogenic sulfur to produce acidic fluids and ice. Here, we reassess and review the Martian geochemical reservoirs of sulfur from the innermost core, to the mantle, crust, and surficial sediments. The recognized occurrences and the mineralogical features of sedimentary sulfate deposits are synthesized and summarized. Existing models of formation of sedimentary sulfate are discussed and related to weathering processes and chemical conditions of surface waters. We also review existing models of sulfur content in the Martian mantle and analyze how volcanic activities may have transferred igneous sulfur into the exosphere and evaluate the mass transfers and speciation relationships between volcanic sulfur and sedimentary sulfates. The sedimentary clay-sulfate succession can be reconciled with a continuous volcanic eruption rate throughout the Noachian-Hesperian, but a process occurring around the mid-Noachian must have profoundly changed the composition of volcanic degassing. A hypothetical increase in the oxidation state or in water content of Martian lavas or a decrease in atmospheric pressure is necessary to account for such a change in composition of volcanic gases. This would allow the pre mid-Noachian volcanic gases to be dominated by water and carbon-species but late Noachian and Hesperian volcanic gases to be sulfur-rich and characterized by high SO2 content. Interruption of early dynamo and impact ejection of the atmosphere may have decreased the atmospheric pressure during the early Noachian whereas it remains …","author":[{"dropping-particle":"","family":"Gaillard","given":"Fabrice","non-dropping-particle":"","parse-names":false,"suffix":""},{"dropping-particle":"","family":"Michalski","given":"Joseph","non-dropping-particle":"","parse-names":false,"suffix":""},{"dropping-particle":"","family":"Berger","given":"Gilles","non-dropping-particle":"","parse-names":false,"suffix":""},{"dropping-particle":"","family":"McLennan","given":"Scott M.","non-dropping-particle":"","parse-names":false,"suffix":""},{"dropping-particle":"","family":"Scaillet","given":"Bruno","non-dropping-particle":"","parse-names":false,"suffix":""}],"container-title":"Space Science Reviews","id":"ITEM-6","issue":"1-4","issued":{"date-parts":[["2013","1","30"]]},"page":"251-300","publisher":"Springer","title":"Geochemical reservoirs and timing of sulfur cycling on Mars","type":"article","volume":"174"},"uris":["http://www.mendeley.com/documents/?uuid=1cc28425-7df6-3004-8347-d6f6b936f7f3"]},{"id":"ITEM-7","itemData":{"DOI":"10.2138/RMG.2011.73.7","ISSN":"1529-6466","author":[{"dropping-particle":"","family":"Baker","given":"Don R.","non-dropping-particle":"","parse-names":false,"suffix":""},{"dropping-particle":"","family":"Moretti","given":"Roberto","non-dropping-particle":"","parse-names":false,"suffix":""}],"container-title":"Reviews in Mineralogy and Geochemistry","id":"ITEM-7","issue":"1","issued":{"date-parts":[["2011","1","1"]]},"page":"167-213","publisher":"GeoScienceWorld","title":"Modeling the Solubility of Sulfur in Magmas: A 50-Year Old Geochemical Challenge","type":"article-journal","volume":"73"},"uris":["http://www.mendeley.com/documents/?uuid=8a4ab556-d198-34f9-86d3-b596eb6d7af9"]},{"id":"ITEM-8","itemData":{"DOI":"10.1016/S0022-3093(03)00297-7","ISSN":"00223093","abstract":"In silicate melts, the speciation state of altervalent elements depends on the extension and distribution of polymeric units in the system. Since polymerization of silicate melts is driven by acid-base properties of constituting oxides depending on their Lux-Flood reactivity, the bulk optical basicity of molten silicates and glasses allows us to compute the distribution of oxygen among three distinct polarization states (O2-, O-, O0) in conjugation with the polymeric model of Toop and Samis. Data available in literature are employed to investigate the mutual interaction between sulfur and iron in silicate melts to constrain the equilibrium between sulfide and sulfate species. Results put in evidence (i) the role of bulk melt chemistry, affecting through polymerization, and hence the transfer of electrons among the three polarization states of oxygens, the oxidation state of altervalent elements such as Fe and S and (ii) the limits of the Temkin approach implicit in chemical equations that consider sulfide and sulfate in melts as free anions. Improvements of the model's accuracy for sulfur speciation may be attained by accounting for the various dissociation equilibria of molten sulfide M2/νS, oxide M2/ν and sulfate M2/νSO4 species in their standard state of pure component in the melt phase at temperature and pressure of interest instead of that of complete dissociation required by the Temkin model. © 2003 Elsevier B.V. All rights reserved.","author":[{"dropping-particle":"","family":"Moretti","given":"Roberto","non-dropping-particle":"","parse-names":false,"suffix":""},{"dropping-particle":"","family":"Ottonello","given":"Giulio","non-dropping-particle":"","parse-names":false,"suffix":""}],"container-title":"Journal of Non-Crystalline Solids","id":"ITEM-8","issue":"1-3","issued":{"date-parts":[["2003","8","1"]]},"page":"111-119","publisher":"North-Holland","title":"Polymerization and disproportionation of iron and sulfur in silicate melts: Insights from an optical basicity-based approach","type":"paper-conference","volume":"323"},"uris":["http://www.mendeley.com/documents/?uuid=0bc70fed-b0a8-3763-8872-d9108407fa21"]},{"id":"ITEM-9","itemData":{"DOI":"10.1016/J.GCA.2004.09.006","ISSN":"0016-7037","abstract":"A Conjugated Toop-Samis-Flood-Grjotheim (CTSFG) model is developed by combining the framework of the Toop-Samis polymeric approach with the Flood-Grjotheim theoretical treatment of silicate melts and slags. Electrically equivalent ion fractions are computed over the appropriate matrixes (anionic and cationic) in a Temkin notation for fused salts, and are used to weigh the contribution of the various disproportionation reactions of type:\nM2/νO(melt)+½S2(gas)</w:instrText>
      </w:r>
      <w:r w:rsidR="00E0491E">
        <w:rPr>
          <w:rFonts w:ascii="Cambria Math" w:hAnsi="Cambria Math" w:cs="Cambria Math"/>
        </w:rPr>
        <w:instrText>⇔</w:instrText>
      </w:r>
      <w:r w:rsidR="00E0491E">
        <w:rPr>
          <w:rFonts w:ascii="Times New Roman" w:hAnsi="Times New Roman"/>
        </w:rPr>
        <w:instrText>M2/νS(melt)+½O2(gas)M2/νO(melt)+½S2(gas)+32O2,(gas)</w:instrText>
      </w:r>
      <w:r w:rsidR="00E0491E">
        <w:rPr>
          <w:rFonts w:ascii="Cambria Math" w:hAnsi="Cambria Math" w:cs="Cambria Math"/>
        </w:rPr>
        <w:instrText>⇔</w:instrText>
      </w:r>
      <w:r w:rsidR="00E0491E">
        <w:rPr>
          <w:rFonts w:ascii="Times New Roman" w:hAnsi="Times New Roman"/>
        </w:rPr>
        <w:instrText>M2/νSO4(melt) ν being the charge of the generic Mν+ cation. The extension of the anionic matrix is calculated in the framework of a previously developed polymeric model (Ottonello et al., 2001), based on a parameterization of Lux-Flood acid-base properties of melt components. Model activities follow the Raoultian behavior implicit in the Temkin notation, without the needs of introducing adjustable parameters. The CTSFG model is based on a large amount of data available in literature and exhibits a satisfactory heuristic capability, with virtually no compositional limits, as long as the structural role given to each oxide holds. The model may be employed to compute gas-melt equilibria involving sulfur and allows computing sulfide and sulfate contents of silicate melts whenever the fugacity of a gaseous sulfur species and oxygen are known. Alternatively, the model calculates the oxidation state of the system (i.e., oxygen fugacity), whenever an analytical determination of either sulfide/sulfate or ferrous/ferric ratios in the melt is provided. Calculated sulfide and sulfate capacities allow the estimates of sulfur abundance in various melts of geological interest, both under anhydrous and hydrous conditions or, alternatively, of fS2, given fO2 and the bulk sulfur content. In this case, fSO2 and fH2S may be eventually computed along the water-sulfur-melt boundary provided fH2O is known.","author":[{"dropping-particle":"","family":"Moretti","given":"Roberto","non-dropping-particle":"","parse-names":false,"suffix":""},{"dropping-particle":"","family":"Ottonello","given":"Giulio","non-dropping-particle":"","parse-names":false,"suffix":""}],"container-title":"Geochimica et Cosmochimica Acta","id":"ITEM-9","issue":"4","issued":{"date-parts":[["2005","2","15"]]},"page":"801-823","publisher":"Pergamon","title":"Solubility and speciation of sulfur in silicate melts: The Conjugated Toop-Samis-Flood-Grjotheim (CTSFG) model","type":"article-journal","volume":"69"},"uris":["http://www.mendeley.com/documents/?uuid=9a0702e1-597c-3421-9ccb-e12463875cc0"]},{"id":"ITEM-10","itemData":{"DOI":"10.1016/j.chemgeo.2004.08.048","ISSN":"00092541","abstract":"The equilibrium between a 4-component H2O-CO2 -SO2-H2S gas phase and a 13-component silicate liquid made of 10 major oxides plus dissolved H2O, CO2, and S, is investigated by means of calculations involving homogeneous reactions in the gas phase and heterogeneous gas-liquid saturation modeling based on classical Gibbs thermodynamics and Toop-Samis polymeric approach. Sulfur is assumed to be present in two different oxidation states in the gas (sulfur dioxide and hydrogen sulfide) and liquid (sulfide and sulfate ions) phase, implying a dependence of the equilibrium conditions on the redox state of the system. Sulfur-bearing solid phases and Fe-O-S immiscible liquid are not accounted for in the modeling. The thermodynamic model is an extension of the one presented in Moretti et al. [Moretti R., Papale P. and Ottonello, G., 2003. A model for the saturation of C-H-O-S fluids in silicate melts. In: Oppenheimer C., Pyle D.M., Barclay J. (eds.) Volcanic Degassing, Geol. Soc. London Spec. Publ., 213, 81-101.] to account for iron speciation at high pressure and dissolved water contents. The consequences on the equilibrium conditions of different assumptions concerning the effective redox buffer in magma are examined through calculations made on two different liquids of shoshonitic and rhyolitic composition, determining the equilibrium conditions on the basis of (i) constant ferric to ferrous mass ratio, (ii) constant hydrogen sulfide to sulfur dioxide fugacity ratio, and (iii) constant oxygen fugacity relative to a solid-gas buffer (ΘNNO±0.5). Following Giggenbach [Giggenbach, W.F., 1996. Chemical composition of volcanic gases. In: Scarpa R., Tilling R.I. (eds.) Monitoring and Mitigation of Volcano Hazards, Springer-Berlin, 202-226.], the first two buffers are expected to be effective in basaltic and rhyolitic magmas, respectively, according to the most abundant reservoir of redox couples represented by iron in basalts, and sulfur in rhyolite. The model results show strongly nonlinear dependence of the equilibrium compositions in the gas and liquid phases, as well as of the oxidation state of the system, on the assumed redox buffer. Furthermore, for each assumed redox buffer, the pressure dependence of phase composition and oxidation state of the system also shows strongly nonlinear trends. The largest compositional differences are shown by sulfur species; however, the concentrations of water and carbon dioxide in the two phases at equilibrium also show nonnegli…","author":[{"dropping-particle":"","family":"Moretti","given":"Roberto","non-dropping-particle":"","parse-names":false,"suffix":""},{"dropping-particle":"","family":"Papale","given":"Paolo","non-dropping-particle":"","parse-names":false,"suffix":""}],"container-title":"Chemical Geology","id":"ITEM-10","issue":"1-3","issued":{"date-parts":[["2004","12","15"]]},"page":"265-280","publisher":"Elsevier","title":"On the oxidation state and volatile behavior in multicomponent gas-melt equilibria","type":"article-journal","volume":"213"},"uris":["http://www.mendeley.com/documents/?uuid=69f8dbc6-0cb6-32df-94f4-31e8682a7a64"]},{"id":"ITEM-11","itemData":{"DOI":"10.1016/j.chemgeo.2015.07.030","ISSN":"00092541","abstract":"The Earth's mantle redox state regulates the fate and transfer of metals by magmatism, buffers the igneous inputs of volcanic gases in the atmosphere and controls the depth of mantle melting. It therefore strongly affects ore forming processes, biogeochemical cycles and deep geodynamic processes. This paper reviews the current knowledge on the redox state of the upper mantle and of magmas produced by mantle melting. The geochemical processes likely to control and modify it through space and time are discussed.We analyze the link between the redox state of magma and that of their mantle source and we conclude that melts produced in the mantle may well all equilibrate in a narrow range of oxidation state, where the speciation of sulfur in basalts shifts from sulfide to sulfate, that is, FMQ+1 ± 1 (1 log unit below and above the oxygen fugacity buffered by the assemblage fayalite-magnetite-quartz). Subsequently, degassing and partial crystallization of melts can affect their redox states, producing most of the range of redox states observed on magmas reaching Earth's surface. The asthenosphere sourcing basaltic magmas may therefore be more oxidized than the FMQ-1 value generally assumed.We also discuss redox transfers from the mantle to the atmosphere via volcanic degassing and the backward fluxes via subduction processes of the hydrothermalized oceanic lithosphere. Arc-magmas are oxidized (up to FMQ+4) but it is unclear when this feature is acquired since strongly oxidized primary arc-basalts have yet to be found. The oxidizing event may be the assimilation of slab-derived SO3-rich fluids by primary basalt generated by decompression melting in the mantle-wedge.Overall, subduction must result in a transfer of oxygen from the Earth's surface down to the mantle. This must imply that subduction and its initiation can hardly be the trigger of the great oxidation event at the end of the Archaean. In contrast, the cooling of the Earth's interior through time must have impacted on the redox state of basalts, by decreasing the depth of mantle melting. According to the long-established vertical stratification of the Earth's mantle, ancient primary magmas are therefore likely to have been more reduced (i.e. &lt;. FMQ-3) than present-day ones. However, geochemical observations on ancient basalts suggest a constant oxidation state since the early Archaean.We conclude that large uncertainties in the calibration of mineralogical oxygen barometer probably explains why we ha…","author":[{"dropping-particle":"","family":"Gaillard","given":"Fabric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container-title":"Chemical Geology","id":"ITEM-11","issued":{"date-parts":[["2015","12","15"]]},"page":"217-233","publisher":"Elsevier","title":"The redox geodynamics linking basalts and their mantle sources through space and time","type":"article-journal","volume":"418"},"uris":["http://www.mendeley.com/documents/?uuid=6dcd136f-2b4c-339d-8a20-0dc70e2ef8c6"]},{"id":"ITEM-12","itemData":{"DOI":"10.1002/9781119473206.CH6","abstract":"The properties of melts and glasses are heavily affected by redox equilibria and these are sensitive to changes in temperature, oxygen fugacity and composition. The compositional control includes the amphoteric behaviour of some components such as iron oxides and demands the understanding of the link between redox, acid-base properties and structural coordination. This goes through a precise and coherent chemical “syntax” for redox and more in general chemical exchanges in melts and magmas. This syntax applies also to the understanding of how bulk composition drives the redox evolution via melt and gas speciation from source depths up to surface. Useful shortcuts and rules of thumbs might be adopted, but we must keep in mind that redox is not a Maxwell's demon or an adjustable parameter. Rather, it is the twin-face of acid-base exchanges that occur in chemically complex mixtures and solutions. In this study we show that recognizing chemically reactive entities allows decrypting the effect of composition on redox patterns of iron and sulfur. Besides, this allows proposing a stoichiometry-based methodology to describe in detail the chemical mechanisms that drive the melt system to get rid of sulfur via decompression, degassing, and precipitation of S-bearing phases. These stoichiometric constraints allow exploring the different features of magma degassing in basaltic and andesitic systems, independently of any model of redox state proposed in the literature.","author":[{"dropping-particle":"","family":"Moretti","given":"Roberto","non-dropping-particle":"","parse-names":false,"suffix":""}],"chapter-number":"6","container-title":"Magma Redox Geochemistry, Geophysical Monograph Series","edition":"1st","editor":[{"dropping-particle":"","family":"Moretti","given":"Roberto","non-dropping-particle":"","parse-names":false,"suffix":""},{"dropping-particle":"","family":"Neuville","given":"Daniel R.","non-dropping-particle":"","parse-names":false,"suffix":""}],"id":"ITEM-12","issued":{"date-parts":[["2021","9","30"]]},"page":"115-138","publisher":"American Geophysical Union (AGU)","title":"Ionic Syntax and Equilibrium Approach to Redox Exchanges in Melts: Basic Concepts and the Case of Iron and Sulfur in Degassing Magmas","type":"chapter"},"uris":["http://www.mendeley.com/documents/?uuid=c12a953d-237c-37e8-a941-34731c9ff3db"]}],"mendeley":{"formattedCitation":"(Baker and Moretti, 2011; Baumgartner et al., 2017; Fincham and Richardson, 1954; Gaillard et al., 2015, 2013, 2011; Gaillard and Scaillet, 2014, 2009; Moretti, 2021; Moretti and Ottonello, 2003, 2005; Moretti and Papale, 2004)","manualFormatting":"(e.g., Fincham and Richardson 1954; Moretti and Ottonello 2005, 2003; Moretti and Papale 2004; Gaillard and Scaillet 2009, 2014; Baker and Moretti 2011; Gaillard et al. 2011, 2013, 2015; Baumgartner et al. 2017; Moretti 2021)","plainTextFormattedCitation":"(Baker and Moretti, 2011; Baumgartner et al., 2017; Fincham and Richardson, 1954; Gaillard et al., 2015, 2013, 2011; Gaillard and Scaillet, 2014, 2009; Moretti, 2021; Moretti and Ottonello, 2003, 2005; Moretti and Papale, 2004)","previouslyFormattedCitation":"(Baker and Moretti, 2011; Baumgartner et al., 2017; Fincham and Richardson, 1954; Gaillard et al., 2015, 2013, 2011; Gaillard and Scaillet, 2014, 2009; Moretti, 2021; Moretti and Ottonello, 2003, 2005; Moretti and Papale, 2004)"},"properties":{"noteIndex":0},"schema":"https://github.com/citation-style-language/schema/raw/master/csl-citation.json"}</w:instrText>
      </w:r>
      <w:r w:rsidR="00E55461">
        <w:rPr>
          <w:rFonts w:ascii="Times New Roman" w:hAnsi="Times New Roman"/>
        </w:rPr>
        <w:fldChar w:fldCharType="separate"/>
      </w:r>
      <w:r w:rsidR="00E55461" w:rsidRPr="00C13ABA">
        <w:rPr>
          <w:rFonts w:ascii="Times New Roman" w:hAnsi="Times New Roman"/>
          <w:noProof/>
        </w:rPr>
        <w:t>(</w:t>
      </w:r>
      <w:r w:rsidR="00E55461">
        <w:rPr>
          <w:rFonts w:ascii="Times New Roman" w:hAnsi="Times New Roman"/>
          <w:noProof/>
        </w:rPr>
        <w:t xml:space="preserve">e.g., </w:t>
      </w:r>
      <w:r w:rsidR="00E55461" w:rsidRPr="00C13ABA">
        <w:rPr>
          <w:rFonts w:ascii="Times New Roman" w:hAnsi="Times New Roman"/>
          <w:noProof/>
        </w:rPr>
        <w:t xml:space="preserve">Fincham and Richardson 1954; Moretti and Ottonello 2005, 2003; Moretti and Papale 2004; Gaillard and Scaillet 2009, </w:t>
      </w:r>
      <w:r w:rsidR="00E55461" w:rsidRPr="00C13ABA">
        <w:rPr>
          <w:rFonts w:ascii="Times New Roman" w:hAnsi="Times New Roman"/>
          <w:noProof/>
        </w:rPr>
        <w:lastRenderedPageBreak/>
        <w:t xml:space="preserve">2014; Baker and Moretti 2011; Gaillard </w:t>
      </w:r>
      <w:r w:rsidR="00E55461" w:rsidRPr="00C13ABA">
        <w:rPr>
          <w:rFonts w:ascii="Times New Roman" w:hAnsi="Times New Roman"/>
          <w:i/>
          <w:noProof/>
        </w:rPr>
        <w:t>et al.</w:t>
      </w:r>
      <w:r w:rsidR="00E55461" w:rsidRPr="00C13ABA">
        <w:rPr>
          <w:rFonts w:ascii="Times New Roman" w:hAnsi="Times New Roman"/>
          <w:noProof/>
        </w:rPr>
        <w:t xml:space="preserve"> 2011, 2013, 2015; Baumgartner </w:t>
      </w:r>
      <w:r w:rsidR="00E55461" w:rsidRPr="00C13ABA">
        <w:rPr>
          <w:rFonts w:ascii="Times New Roman" w:hAnsi="Times New Roman"/>
          <w:i/>
          <w:noProof/>
        </w:rPr>
        <w:t>et al.</w:t>
      </w:r>
      <w:r w:rsidR="00E55461" w:rsidRPr="00C13ABA">
        <w:rPr>
          <w:rFonts w:ascii="Times New Roman" w:hAnsi="Times New Roman"/>
          <w:noProof/>
        </w:rPr>
        <w:t xml:space="preserve"> 2017; Moretti 2021)</w:t>
      </w:r>
      <w:r w:rsidR="00E55461">
        <w:rPr>
          <w:rFonts w:ascii="Times New Roman" w:hAnsi="Times New Roman"/>
        </w:rPr>
        <w:fldChar w:fldCharType="end"/>
      </w:r>
      <w:r w:rsidRPr="001054A1">
        <w:rPr>
          <w:rFonts w:ascii="Times New Roman" w:hAnsi="Times New Roman"/>
        </w:rPr>
        <w:t xml:space="preserve"> according to:</w:t>
      </w:r>
    </w:p>
    <w:p w14:paraId="18DF6BBD" w14:textId="5F471810"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d>
                <m:dPr>
                  <m:ctrlPr>
                    <w:rPr>
                      <w:rFonts w:ascii="Cambria Math" w:hAnsi="Cambria Math"/>
                    </w:rPr>
                  </m:ctrlPr>
                </m:dPr>
                <m:e>
                  <m:r>
                    <w:rPr>
                      <w:rFonts w:ascii="Cambria Math" w:hAnsi="Cambria Math"/>
                    </w:rPr>
                    <m:t>v</m:t>
                  </m:r>
                </m:e>
              </m:d>
              <m:r>
                <w:rPr>
                  <w:rFonts w:ascii="Cambria Math" w:hAnsi="Cambria Math"/>
                </w:rPr>
                <m:t>+</m:t>
              </m:r>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m:t>
              </m:r>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r>
                <w:rPr>
                  <w:rFonts w:ascii="Cambria Math" w:hAnsi="Cambria Math"/>
                </w:rPr>
                <m:t xml:space="preserve"> #</m:t>
              </m:r>
              <m:d>
                <m:dPr>
                  <m:ctrlPr>
                    <w:rPr>
                      <w:rFonts w:ascii="Cambria Math" w:hAnsi="Cambria Math"/>
                      <w:i/>
                    </w:rPr>
                  </m:ctrlPr>
                </m:dPr>
                <m:e>
                  <m:r>
                    <m:rPr>
                      <m:sty m:val="p"/>
                    </m:rPr>
                    <w:rPr>
                      <w:rFonts w:ascii="Cambria Math" w:hAnsi="Cambria Math"/>
                    </w:rPr>
                    <m:t>S32</m:t>
                  </m:r>
                  <m:ctrlPr>
                    <w:rPr>
                      <w:rFonts w:ascii="Cambria Math" w:hAnsi="Cambria Math"/>
                    </w:rPr>
                  </m:ctrlPr>
                </m:e>
              </m:d>
            </m:e>
          </m:eqArr>
        </m:oMath>
      </m:oMathPara>
    </w:p>
    <w:p w14:paraId="4E34FFCF" w14:textId="77777777" w:rsidR="001054A1" w:rsidRPr="001054A1" w:rsidRDefault="001054A1" w:rsidP="001054A1">
      <w:pPr>
        <w:pStyle w:val="NoSpacing"/>
        <w:jc w:val="both"/>
        <w:rPr>
          <w:rFonts w:ascii="Times New Roman" w:hAnsi="Times New Roman"/>
        </w:rPr>
      </w:pPr>
      <w:r w:rsidRPr="001054A1">
        <w:rPr>
          <w:rFonts w:ascii="Times New Roman" w:hAnsi="Times New Roman"/>
        </w:rPr>
        <w:t>which, assuming there is a single type of O</w:t>
      </w:r>
      <w:r w:rsidRPr="001054A1">
        <w:rPr>
          <w:rFonts w:ascii="Times New Roman" w:hAnsi="Times New Roman"/>
          <w:vertAlign w:val="superscript"/>
        </w:rPr>
        <w:t>2-</w:t>
      </w:r>
      <w:r w:rsidRPr="001054A1">
        <w:rPr>
          <w:rFonts w:ascii="Times New Roman" w:hAnsi="Times New Roman"/>
        </w:rPr>
        <w:t>, has the following equilibrium constant:</w:t>
      </w:r>
    </w:p>
    <w:p w14:paraId="62469358" w14:textId="45731087"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den>
                      </m:f>
                    </m:e>
                  </m:d>
                </m:e>
                <m:sup>
                  <m:f>
                    <m:fPr>
                      <m:ctrlPr>
                        <w:rPr>
                          <w:rFonts w:ascii="Cambria Math" w:hAnsi="Cambria Math"/>
                        </w:rPr>
                      </m:ctrlPr>
                    </m:fPr>
                    <m:num>
                      <m:r>
                        <w:rPr>
                          <w:rFonts w:ascii="Cambria Math" w:hAnsi="Cambria Math"/>
                        </w:rPr>
                        <m:t>1</m:t>
                      </m:r>
                    </m:num>
                    <m:den>
                      <m:r>
                        <w:rPr>
                          <w:rFonts w:ascii="Cambria Math" w:hAnsi="Cambria Math"/>
                        </w:rPr>
                        <m:t>2</m:t>
                      </m:r>
                    </m:den>
                  </m:f>
                </m:sup>
              </m:sSup>
              <m: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num>
                <m:den>
                  <m:sSubSup>
                    <m:sSubSupPr>
                      <m:ctrlPr>
                        <w:rPr>
                          <w:rFonts w:ascii="Cambria Math" w:hAnsi="Cambria Math"/>
                        </w:rPr>
                      </m:ctrlPr>
                    </m:sSubSupPr>
                    <m:e>
                      <m:r>
                        <w:rPr>
                          <w:rFonts w:ascii="Cambria Math" w:hAnsi="Cambria Math"/>
                        </w:rPr>
                        <m:t>γ</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den>
                      </m:f>
                    </m:e>
                  </m:d>
                </m:e>
                <m:sup>
                  <m:f>
                    <m:fPr>
                      <m:ctrlPr>
                        <w:rPr>
                          <w:rFonts w:ascii="Cambria Math" w:hAnsi="Cambria Math"/>
                        </w:rPr>
                      </m:ctrlPr>
                    </m:fPr>
                    <m:num>
                      <m:r>
                        <w:rPr>
                          <w:rFonts w:ascii="Cambria Math" w:hAnsi="Cambria Math"/>
                        </w:rPr>
                        <m:t>1</m:t>
                      </m:r>
                    </m:num>
                    <m:den>
                      <m:r>
                        <w:rPr>
                          <w:rFonts w:ascii="Cambria Math" w:hAnsi="Cambria Math"/>
                        </w:rPr>
                        <m:t>2</m:t>
                      </m:r>
                    </m:den>
                  </m:f>
                </m:sup>
              </m:sSup>
              <m:r>
                <w:rPr>
                  <w:rFonts w:ascii="Cambria Math" w:hAnsi="Cambria Math"/>
                </w:rPr>
                <m:t>. #</m:t>
              </m:r>
              <m:d>
                <m:dPr>
                  <m:ctrlPr>
                    <w:rPr>
                      <w:rFonts w:ascii="Cambria Math" w:hAnsi="Cambria Math"/>
                      <w:i/>
                    </w:rPr>
                  </m:ctrlPr>
                </m:dPr>
                <m:e>
                  <m:r>
                    <m:rPr>
                      <m:sty m:val="p"/>
                    </m:rPr>
                    <w:rPr>
                      <w:rFonts w:ascii="Cambria Math" w:hAnsi="Cambria Math"/>
                    </w:rPr>
                    <m:t>S33</m:t>
                  </m:r>
                  <m:ctrlPr>
                    <w:rPr>
                      <w:rFonts w:ascii="Cambria Math" w:hAnsi="Cambria Math"/>
                    </w:rPr>
                  </m:ctrlPr>
                </m:e>
              </m:d>
            </m:e>
          </m:eqArr>
        </m:oMath>
      </m:oMathPara>
    </w:p>
    <w:p w14:paraId="488F8D6E" w14:textId="57A72212" w:rsidR="001054A1" w:rsidRPr="001054A1" w:rsidRDefault="001054A1" w:rsidP="001054A1">
      <w:pPr>
        <w:pStyle w:val="NoSpacing"/>
        <w:jc w:val="both"/>
        <w:rPr>
          <w:rFonts w:ascii="Times New Roman" w:hAnsi="Times New Roman"/>
        </w:rPr>
      </w:pPr>
      <w:r w:rsidRPr="001054A1">
        <w:rPr>
          <w:rFonts w:ascii="Times New Roman" w:hAnsi="Times New Roman"/>
        </w:rPr>
        <w:t xml:space="preserve">Making similar assumptions as previously (e.g., </w:t>
      </w:r>
      <w:r w:rsidR="00BD449C" w:rsidRPr="00B67966">
        <w:rPr>
          <w:rFonts w:ascii="Times New Roman" w:hAnsi="Times New Roman"/>
          <w:i/>
          <w:iCs/>
          <w:color w:val="000000" w:themeColor="text1"/>
        </w:rPr>
        <w:t>γ</w:t>
      </w:r>
      <w:r w:rsidR="00BD449C" w:rsidRPr="00FD2F77">
        <w:rPr>
          <w:rFonts w:ascii="Times New Roman" w:hAnsi="Times New Roman"/>
          <w:i/>
          <w:iCs/>
          <w:color w:val="000000" w:themeColor="text1"/>
          <w:vertAlign w:val="superscript"/>
        </w:rPr>
        <w:t>m</w:t>
      </w:r>
      <w:r w:rsidR="00BD449C" w:rsidRPr="00BD449C">
        <w:rPr>
          <w:rFonts w:ascii="Times New Roman" w:hAnsi="Times New Roman"/>
          <w:color w:val="000000" w:themeColor="text1"/>
          <w:vertAlign w:val="subscript"/>
        </w:rPr>
        <w:t>S2-</w:t>
      </w:r>
      <w:r w:rsidR="00BD449C" w:rsidRPr="00BD449C">
        <w:rPr>
          <w:rFonts w:ascii="Times New Roman" w:hAnsi="Times New Roman"/>
          <w:color w:val="000000" w:themeColor="text1"/>
        </w:rPr>
        <w:t xml:space="preserve"> = 1</w:t>
      </w:r>
      <w:r w:rsidRPr="001054A1">
        <w:rPr>
          <w:rFonts w:ascii="Times New Roman" w:hAnsi="Times New Roman"/>
        </w:rPr>
        <w:t xml:space="preserve"> and </w:t>
      </w:r>
      <w:r w:rsidR="00BD449C">
        <w:rPr>
          <w:rFonts w:ascii="Times New Roman" w:hAnsi="Times New Roman"/>
          <w:i/>
          <w:iCs/>
          <w:color w:val="000000" w:themeColor="text1"/>
        </w:rPr>
        <w:t>a</w:t>
      </w:r>
      <w:r w:rsidR="00BD449C" w:rsidRPr="00FD2F77">
        <w:rPr>
          <w:rFonts w:ascii="Times New Roman" w:hAnsi="Times New Roman"/>
          <w:i/>
          <w:iCs/>
          <w:color w:val="000000" w:themeColor="text1"/>
          <w:vertAlign w:val="superscript"/>
        </w:rPr>
        <w:t>m</w:t>
      </w:r>
      <w:r w:rsidR="00BD449C" w:rsidRPr="00BD449C">
        <w:rPr>
          <w:rFonts w:ascii="Times New Roman" w:hAnsi="Times New Roman"/>
          <w:color w:val="000000" w:themeColor="text1"/>
          <w:vertAlign w:val="subscript"/>
        </w:rPr>
        <w:t>O2-</w:t>
      </w:r>
      <w:r w:rsidR="00BD449C" w:rsidRPr="00BD449C">
        <w:rPr>
          <w:rFonts w:ascii="Times New Roman" w:hAnsi="Times New Roman"/>
          <w:color w:val="000000" w:themeColor="text1"/>
        </w:rPr>
        <w:t xml:space="preserve"> = </w:t>
      </w:r>
      <w:r w:rsidR="00BD449C">
        <w:rPr>
          <w:rFonts w:ascii="Times New Roman" w:hAnsi="Times New Roman"/>
          <w:i/>
          <w:iCs/>
          <w:color w:val="000000" w:themeColor="text1"/>
        </w:rPr>
        <w:t>a</w:t>
      </w:r>
      <w:r w:rsidR="00BD449C" w:rsidRPr="00FD2F77">
        <w:rPr>
          <w:rFonts w:ascii="Times New Roman" w:hAnsi="Times New Roman"/>
          <w:i/>
          <w:iCs/>
          <w:color w:val="000000" w:themeColor="text1"/>
          <w:vertAlign w:val="superscript"/>
        </w:rPr>
        <w:t>m</w:t>
      </w:r>
      <w:r w:rsidR="00BD449C" w:rsidRPr="00BD449C">
        <w:rPr>
          <w:rFonts w:ascii="Times New Roman" w:hAnsi="Times New Roman"/>
          <w:color w:val="000000" w:themeColor="text1"/>
          <w:vertAlign w:val="superscript"/>
        </w:rPr>
        <w:t>,0</w:t>
      </w:r>
      <w:r w:rsidR="00BD449C" w:rsidRPr="00BD449C">
        <w:rPr>
          <w:rFonts w:ascii="Times New Roman" w:hAnsi="Times New Roman"/>
          <w:color w:val="000000" w:themeColor="text1"/>
          <w:vertAlign w:val="subscript"/>
        </w:rPr>
        <w:t>O2-</w:t>
      </w:r>
      <w:r w:rsidR="00BD449C" w:rsidRPr="00BD449C">
        <w:rPr>
          <w:rFonts w:ascii="Times New Roman" w:hAnsi="Times New Roman"/>
          <w:color w:val="000000" w:themeColor="text1"/>
        </w:rPr>
        <w:t>)</w:t>
      </w:r>
      <w:r w:rsidRPr="001054A1">
        <w:rPr>
          <w:rFonts w:ascii="Times New Roman" w:hAnsi="Times New Roman"/>
        </w:rPr>
        <w:t>:</w:t>
      </w:r>
    </w:p>
    <w:p w14:paraId="46319578" w14:textId="6A4DE867"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Sup>
                            <m:sSubSupPr>
                              <m:ctrlPr>
                                <w:rPr>
                                  <w:rFonts w:ascii="Cambria Math" w:hAnsi="Cambria Math"/>
                                </w:rPr>
                              </m:ctrlPr>
                            </m:sSubSupPr>
                            <m:e>
                              <m:r>
                                <w:rPr>
                                  <w:rFonts w:ascii="Cambria Math" w:hAnsi="Cambria Math"/>
                                </w:rPr>
                                <m:t>x</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e>
                      </m:d>
                    </m:e>
                    <m:sup>
                      <m:r>
                        <w:rPr>
                          <w:rFonts w:ascii="Cambria Math" w:hAnsi="Cambria Math"/>
                        </w:rPr>
                        <m:t>2</m:t>
                      </m:r>
                    </m:sup>
                  </m:sSup>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K</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Sub>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m,0</m:t>
                              </m:r>
                            </m:sup>
                          </m:sSubSup>
                        </m:e>
                      </m:d>
                    </m:e>
                    <m:sup>
                      <m:r>
                        <w:rPr>
                          <w:rFonts w:ascii="Cambria Math" w:hAnsi="Cambria Math"/>
                        </w:rPr>
                        <m:t>2</m:t>
                      </m:r>
                    </m:sup>
                  </m:sSup>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r>
                <w:rPr>
                  <w:rFonts w:ascii="Cambria Math" w:hAnsi="Cambria Math"/>
                </w:rPr>
                <m:t>. #</m:t>
              </m:r>
              <m:d>
                <m:dPr>
                  <m:ctrlPr>
                    <w:rPr>
                      <w:rFonts w:ascii="Cambria Math" w:hAnsi="Cambria Math"/>
                      <w:i/>
                    </w:rPr>
                  </m:ctrlPr>
                </m:dPr>
                <m:e>
                  <m:r>
                    <m:rPr>
                      <m:sty m:val="p"/>
                    </m:rPr>
                    <w:rPr>
                      <w:rFonts w:ascii="Cambria Math" w:hAnsi="Cambria Math"/>
                    </w:rPr>
                    <m:t>S34</m:t>
                  </m:r>
                  <m:ctrlPr>
                    <w:rPr>
                      <w:rFonts w:ascii="Cambria Math" w:hAnsi="Cambria Math"/>
                    </w:rPr>
                  </m:ctrlPr>
                </m:e>
              </m:d>
            </m:e>
          </m:eqArr>
        </m:oMath>
      </m:oMathPara>
    </w:p>
    <w:p w14:paraId="6B98D519" w14:textId="28B93F08" w:rsidR="001054A1" w:rsidRPr="00E55461" w:rsidRDefault="001054A1" w:rsidP="00147AF9">
      <w:pPr>
        <w:ind w:firstLine="720"/>
        <w:jc w:val="both"/>
        <w:rPr>
          <w:rFonts w:ascii="Times New Roman" w:hAnsi="Times New Roman" w:cs="Times New Roman"/>
        </w:rPr>
      </w:pPr>
      <w:r w:rsidRPr="00E55461">
        <w:rPr>
          <w:rFonts w:ascii="Times New Roman" w:hAnsi="Times New Roman" w:cs="Times New Roman"/>
        </w:rPr>
        <w:t xml:space="preserve">Likewise, </w:t>
      </w:r>
      <w:proofErr w:type="spellStart"/>
      <w:r w:rsidRPr="00E55461">
        <w:rPr>
          <w:rFonts w:ascii="Times New Roman" w:hAnsi="Times New Roman" w:cs="Times New Roman"/>
        </w:rPr>
        <w:t>sulfur</w:t>
      </w:r>
      <w:proofErr w:type="spellEnd"/>
      <w:r w:rsidRPr="00E55461">
        <w:rPr>
          <w:rFonts w:ascii="Times New Roman" w:hAnsi="Times New Roman" w:cs="Times New Roman"/>
        </w:rPr>
        <w:t xml:space="preserve"> dissolving as</w:t>
      </w:r>
      <w:r w:rsidR="00923A61">
        <w:rPr>
          <w:rFonts w:ascii="Times New Roman" w:hAnsi="Times New Roman" w:cs="Times New Roman"/>
        </w:rPr>
        <w:t xml:space="preserve"> SO</w:t>
      </w:r>
      <w:r w:rsidR="00923A61" w:rsidRPr="00923A61">
        <w:rPr>
          <w:rFonts w:ascii="Times New Roman" w:hAnsi="Times New Roman" w:cs="Times New Roman"/>
          <w:vertAlign w:val="subscript"/>
        </w:rPr>
        <w:t>4</w:t>
      </w:r>
      <w:r w:rsidR="00923A61" w:rsidRPr="00923A61">
        <w:rPr>
          <w:rFonts w:ascii="Times New Roman" w:hAnsi="Times New Roman" w:cs="Times New Roman"/>
          <w:vertAlign w:val="superscript"/>
        </w:rPr>
        <w:t>2-</w:t>
      </w:r>
      <w:r w:rsidRPr="00E55461">
        <w:rPr>
          <w:rFonts w:ascii="Times New Roman" w:hAnsi="Times New Roman" w:cs="Times New Roman"/>
        </w:rPr>
        <w:t xml:space="preserve"> species in silicate melts</w:t>
      </w:r>
      <w:r w:rsidR="00E55461" w:rsidRPr="00E55461">
        <w:rPr>
          <w:rFonts w:ascii="Times New Roman" w:hAnsi="Times New Roman" w:cs="Times New Roman"/>
        </w:rPr>
        <w:t xml:space="preserve"> </w:t>
      </w:r>
      <w:r w:rsidR="00E55461" w:rsidRPr="00E55461">
        <w:rPr>
          <w:rFonts w:ascii="Times New Roman" w:hAnsi="Times New Roman" w:cs="Times New Roman"/>
        </w:rPr>
        <w:fldChar w:fldCharType="begin" w:fldLock="1"/>
      </w:r>
      <w:r w:rsidR="00E0491E">
        <w:rPr>
          <w:rFonts w:ascii="Times New Roman" w:hAnsi="Times New Roman" w:cs="Times New Roman"/>
        </w:rPr>
        <w:instrText xml:space="preserve">ADDIN CSL_CITATION {"citationItems":[{"id":"ITEM-1","itemData":{"DOI":"10.1098/rspa.1954.0099","abstract":"As part of a general programme of research on the nature of inorganic melts, a study has been made of the manner in which sulphur is held in liquid silicates and aluminates. Mixtures of CaO-SiO2, MgO-SiO2, FeO-SiO2, CaO-Al2O3 and CaO-SiO2-Al2O3 have been brought into equilibrium, at temperatures between 1350 and 1650°C, with gas phases made by mixing H2, CO2 and SO2 at room temperature. It has been shown that, when pO2 is less than about 10–5 atm, a sulphur atom can only enter the melt by displacing a suitable oxygen atom. The sulphur is then held in the slag entirely as sulphide, its concentration being controlled by the general equilibrium, ½S2 + (O)melt = ½O2 + (S)melt. When pO2 is greater than about 10-3 atm, the sulphur is held as sulphate and the corresponding equilibrium is ½S2 + 3/2O2 + (O)melt = (SO4)melt∙ In the binary silicate melts there must be three kinds of oxygen atoms present: those bonded to two silicon atoms, those bonded to one silicon and those unattached to silicon. Their proportions are presumably connected by an equilibrium of the type O2– + </w:instrText>
      </w:r>
      <w:r w:rsidR="00E0491E">
        <w:rPr>
          <w:rFonts w:ascii="Cambria Math" w:hAnsi="Cambria Math" w:cs="Cambria Math"/>
        </w:rPr>
        <w:instrText>⋮</w:instrText>
      </w:r>
      <w:r w:rsidR="00E0491E">
        <w:rPr>
          <w:rFonts w:ascii="Times New Roman" w:hAnsi="Times New Roman" w:cs="Times New Roman"/>
        </w:rPr>
        <w:instrText xml:space="preserve"> Si-O-Si </w:instrText>
      </w:r>
      <w:r w:rsidR="00E0491E">
        <w:rPr>
          <w:rFonts w:ascii="Cambria Math" w:hAnsi="Cambria Math" w:cs="Cambria Math"/>
        </w:rPr>
        <w:instrText>⋮</w:instrText>
      </w:r>
      <w:r w:rsidR="00E0491E">
        <w:rPr>
          <w:rFonts w:ascii="Times New Roman" w:hAnsi="Times New Roman" w:cs="Times New Roman"/>
        </w:rPr>
        <w:instrText xml:space="preserve"> = 2(</w:instrText>
      </w:r>
      <w:r w:rsidR="00E0491E">
        <w:rPr>
          <w:rFonts w:ascii="Cambria Math" w:hAnsi="Cambria Math" w:cs="Cambria Math"/>
        </w:rPr>
        <w:instrText>⋮</w:instrText>
      </w:r>
      <w:r w:rsidR="00E0491E">
        <w:rPr>
          <w:rFonts w:ascii="Times New Roman" w:hAnsi="Times New Roman" w:cs="Times New Roman"/>
        </w:rPr>
        <w:instrText xml:space="preserve"> Si-O¯). From the manner in which both the sulphide and sulphate equilibria depend upon the proportions of metal oxide present, it appears that only the oxygen atoms which are unattached to silicon are of importance so far as these equilibria are concerned. The potential capacity of a melt to hold sulphur as sulphide is expressed as its sulphide capacity Cs = (wt. % S) (pO2)½/(ps2)½. For binary silicate and aluminate melts there is a close parallelism between the value of this capacity and the activity of the basic metal oxide. The activity coefficients for CaS have been found to be the same as for CaSO4 and approximately constant in CaO-SiO2 mixtures. The sulphide equilibrium results have been used to improve the free energy of formation curve for the formation of CaO-SiO2 melts, and to construct a similar curve for CaO-Al2O3 melts. The temperature coefficient of the sulphide capacity for CaO-SiO2 melts has been combined with other data and used to extend the heat of formation curve for CaO-SiO2 melts. The sulphur capacities, and presumably the lime activities, of the ternary melts CaO-SiO2 -Al2O3, have been shown to be a maximum at compositions for which the molar proportions of SiO2 and Al2O3are equal; this behaviour would be expected because the energy of interaction of SiO2 and Al2O3 is much greater than that of either CaO and SiO2 or CaO and Al2O3. It follows the patter…","author":[{"dropping-particle":"","family":"Fincham","given":"C. J. B.","non-dropping-particle":"","parse-names":false,"suffix":""},{"dropping-particle":"","family":"Richardson","given":"Frederick Denys","non-dropping-particle":"","parse-names":false,"suffix":""}],"container-title":"Proceedings of the Royal Society of London. Series A. Mathematical and Physical Sciences","id":"ITEM-1","issue":"1152","issued":{"date-parts":[["1954","4","7"]]},"page":"40-62","title":"The behaviour of sulphur in silicate and aluminate melts","type":"article-journal","volume":"223"},"uris":["http://www.mendeley.com/documents/?uuid=96cd2846-d4eb-3263-96b4-77a2c5011472"]},{"id":"ITEM-2","itemData":{"DOI":"10.1016/S0022-3093(03)00297-7","ISSN":"00223093","abstract":"In silicate melts, the speciation state of altervalent elements depends on the extension and distribution of polymeric units in the system. Since polymerization of silicate melts is driven by acid-base properties of constituting oxides depending on their Lux-Flood reactivity, the bulk optical basicity of molten silicates and glasses allows us to compute the distribution of oxygen among three distinct polarization states (O2-, O-, O0) in conjugation with the polymeric model of Toop and Samis. Data available in literature are employed to investigate the mutual interaction between sulfur and iron in silicate melts to constrain the equilibrium between sulfide and sulfate species. Results put in evidence (i) the role of bulk melt chemistry, affecting through polymerization, and hence the transfer of electrons among the three polarization states of oxygens, the oxidation state of altervalent elements such as Fe and S and (ii) the limits of the Temkin approach implicit in chemical equations that consider sulfide and sulfate in melts as free anions. Improvements of the model's accuracy for sulfur speciation may be attained by accounting for the various dissociation equilibria of molten sulfide M2/νS, oxide M2/ν and sulfate M2/νSO4 species in their standard state of pure component in the melt phase at temperature and pressure of interest instead of that of complete dissociation required by the Temkin model. © 2003 Elsevier B.V. All rights reserved.","author":[{"dropping-particle":"","family":"Moretti","given":"Roberto","non-dropping-particle":"","parse-names":false,"suffix":""},{"dropping-particle":"","family":"Ottonello","given":"Giulio","non-dropping-particle":"","parse-names":false,"suffix":""}],"container-title":"Journal of Non-Crystalline Solids","id":"ITEM-2","issue":"1-3","issued":{"date-parts":[["2003","8","1"]]},"page":"111-119","publisher":"North-Holland","title":"Polymerization and disproportionation of iron and sulfur in silicate melts: Insights from an optical basicity-based approach","type":"paper-conference","volume":"323"},"uris":["http://www.mendeley.com/documents/?uuid=0bc70fed-b0a8-3763-8872-d9108407fa21"]},{"id":"ITEM-3","itemData":{"DOI":"10.1016/J.GCA.2004.09.006","ISSN":"0016-7037","abstract":"A Conjugated Toop-Samis-Flood-Grjotheim (CTSFG) model is developed by combining the framework of the Toop-Samis polymeric approach with the Flood-Grjotheim theoretical treatment of silicate melts and slags. Electrically equivalent ion fractions are computed over the appropriate matrixes (anionic and cationic) in a Temkin notation for fused salts, and are used to weigh the contribution of the various disproportionation reactions of type:\nM2/νO(melt)+½S2(gas)</w:instrText>
      </w:r>
      <w:r w:rsidR="00E0491E">
        <w:rPr>
          <w:rFonts w:ascii="Cambria Math" w:hAnsi="Cambria Math" w:cs="Cambria Math"/>
        </w:rPr>
        <w:instrText>⇔</w:instrText>
      </w:r>
      <w:r w:rsidR="00E0491E">
        <w:rPr>
          <w:rFonts w:ascii="Times New Roman" w:hAnsi="Times New Roman" w:cs="Times New Roman"/>
        </w:rPr>
        <w:instrText>M2/νS(melt)+½O2(gas)M2/νO(melt)+½S2(gas)+32O2,(gas)</w:instrText>
      </w:r>
      <w:r w:rsidR="00E0491E">
        <w:rPr>
          <w:rFonts w:ascii="Cambria Math" w:hAnsi="Cambria Math" w:cs="Cambria Math"/>
        </w:rPr>
        <w:instrText>⇔</w:instrText>
      </w:r>
      <w:r w:rsidR="00E0491E">
        <w:rPr>
          <w:rFonts w:ascii="Times New Roman" w:hAnsi="Times New Roman" w:cs="Times New Roman"/>
        </w:rPr>
        <w:instrText>M2/νSO4(melt) ν being the charge of the generic Mν+ cation. The extension of the anionic matrix is calculated in the framework of a previously developed polymeric model (Ottonello et al., 2001), based on a parameterization of Lux-Flood acid-base properties of melt components. Model activities follow the Raoultian behavior implicit in the Temkin notation, without the needs of introducing adjustable parameters. The CTSFG model is based on a large amount of data available in literature and exhibits a satisfactory heuristic capability, with virtually no compositional limits, as long as the structural role given to each oxide holds. The model may be employed to compute gas-melt equilibria involving sulfur and allows computing sulfide and sulfate contents of silicate melts whenever the fugacity of a gaseous sulfur species and oxygen are known. Alternatively, the model calculates the oxidation state of the system (i.e., oxygen fugacity), whenever an analytical determination of either sulfide/sulfate or ferrous/ferric ratios in the melt is provided. Calculated sulfide and sulfate capacities allow the estimates of sulfur abundance in various melts of geological interest, both under anhydrous and hydrous conditions or, alternatively, of fS2, given fO2 and the bulk sulfur content. In this case, fSO2 and fH2S may be eventually computed along the water-sulfur-melt boundary provided fH2O is known.","author":[{"dropping-particle":"","family":"Moretti","given":"Roberto","non-dropping-particle":"","parse-names":false,"suffix":""},{"dropping-particle":"","family":"Ottonello","given":"Giulio","non-dropping-particle":"","parse-names":false,"suffix":""}],"container-title":"Geochimica et Cosmochimica Acta","id":"ITEM-3","issue":"4","issued":{"date-parts":[["2005","2","15"]]},"page":"801-823","publisher":"Pergamon","title":"Solubility and speciation of sulfur in silicate melts: The Conjugated Toop-Samis-Flood-Grjotheim (CTSFG) model","type":"article-journal","volume":"69"},"uris":["http://www.mendeley.com/documents/?uuid=9a0702e1-597c-3421-9ccb-e12463875cc0"]},{"id":"ITEM-4","itemData":{"DOI":"10.1016/j.chemgeo.2004.08.048","ISSN":"00092541","abstract":"The equilibrium between a 4-component H2O-CO2 -SO2-H2S gas phase and a 13-component silicate liquid made of 10 major oxides plus dissolved H2O, CO2, and S, is investigated by means of calculations involving homogeneous reactions in the gas phase and heterogeneous gas-liquid saturation modeling based on classical Gibbs thermodynamics and Toop-Samis polymeric approach. Sulfur is assumed to be present in two different oxidation states in the gas (sulfur dioxide and hydrogen sulfide) and liquid (sulfide and sulfate ions) phase, implying a dependence of the equilibrium conditions on the redox state of the system. Sulfur-bearing solid phases and Fe-O-S immiscible liquid are not accounted for in the modeling. The thermodynamic model is an extension of the one presented in Moretti et al. [Moretti R., Papale P. and Ottonello, G., 2003. A model for the saturation of C-H-O-S fluids in silicate melts. In: Oppenheimer C., Pyle D.M., Barclay J. (eds.) Volcanic Degassing, Geol. Soc. London Spec. Publ., 213, 81-101.] to account for iron speciation at high pressure and dissolved water contents. The consequences on the equilibrium conditions of different assumptions concerning the effective redox buffer in magma are examined through calculations made on two different liquids of shoshonitic and rhyolitic composition, determining the equilibrium conditions on the basis of (i) constant ferric to ferrous mass ratio, (ii) constant hydrogen sulfide to sulfur dioxide fugacity ratio, and (iii) constant oxygen fugacity relative to a solid-gas buffer (ΘNNO±0.5). Following Giggenbach [Giggenbach, W.F., 1996. Chemical composition of volcanic gases. In: Scarpa R., Tilling R.I. (eds.) Monitoring and Mitigation of Volcano Hazards, Springer-Berlin, 202-226.], the first two buffers are expected to be effective in basaltic and rhyolitic magmas, respectively, according to the most abundant reservoir of redox couples represented by iron in basalts, and sulfur in rhyolite. The model results show strongly nonlinear dependence of the equilibrium compositions in the gas and liquid phases, as well as of the oxidation state of the system, on the assumed redox buffer. Furthermore, for each assumed redox buffer, the pressure dependence of phase composition and oxidation state of the system also shows strongly nonlinear trends. The largest compositional differences are shown by sulfur species; however, the concentrations of water and carbon dioxide in the two phases at equilibrium also show nonnegli…","author":[{"dropping-particle":"","family":"Moretti","given":"Roberto","non-dropping-particle":"","parse-names":false,"suffix":""},{"dropping-particle":"","family":"Papale","given":"Paolo","non-dropping-particle":"","parse-names":false,"suffix":""}],"container-title":"Chemical Geology","id":"ITEM-4","issue":"1-3","issued":{"date-parts":[["2004","12","15"]]},"page":"265-280","publisher":"Elsevier","title":"On the oxidation state and volatile behavior in multicomponent gas-melt equilibria","type":"article-journal","volume":"213"},"uris":["http://www.mendeley.com/documents/?uuid=69f8dbc6-0cb6-32df-94f4-31e8682a7a64"]},{"id":"ITEM-5","itemData":{"DOI":"10.2138/RMG.2011.73.7","ISSN":"1529-6466","author":[{"dropping-particle":"","family":"Baker","given":"Don R.","non-dropping-particle":"","parse-names":false,"suffix":""},{"dropping-particle":"","family":"Moretti","given":"Roberto","non-dropping-particle":"","parse-names":false,"suffix":""}],"container-title":"Reviews in Mineralogy and Geochemistry","id":"ITEM-5","issue":"1","issued":{"date-parts":[["2011","1","1"]]},"page":"167-213","publisher":"GeoScienceWorld","title":"Modeling the Solubility of Sulfur in Magmas: A 50-Year Old Geochemical Challenge","type":"article-journal","volume":"73"},"uris":["http://www.mendeley.com/documents/?uuid=8a4ab556-d198-34f9-86d3-b596eb6d7af9"]},{"id":"ITEM-6","itemData":{"DOI":"10.1002/9781119473206.CH6","abstract":"The properties of melts and glasses are heavily affected by redox equilibria and these are sensitive to changes in temperature, oxygen fugacity and composition. The compositional control includes the amphoteric behaviour of some components such as iron oxides and demands the understanding of the link between redox, acid-base properties and structural coordination. This goes through a precise and coherent chemical “syntax” for redox and more in general chemical exchanges in melts and magmas. This syntax applies also to the understanding of how bulk composition drives the redox evolution via melt and gas speciation from source depths up to surface. Useful shortcuts and rules of thumbs might be adopted, but we must keep in mind that redox is not a Maxwell's demon or an adjustable parameter. Rather, it is the twin-face of acid-base exchanges that occur in chemically complex mixtures and solutions. In this study we show that recognizing chemically reactive entities allows decrypting the effect of composition on redox patterns of iron and sulfur. Besides, this allows proposing a stoichiometry-based methodology to describe in detail the chemical mechanisms that drive the melt system to get rid of sulfur via decompression, degassing, and precipitation of S-bearing phases. These stoichiometric constraints allow exploring the different features of magma degassing in basaltic and andesitic systems, independently of any model of redox state proposed in the literature.","author":[{"dropping-particle":"","family":"Moretti","given":"Roberto","non-dropping-particle":"","parse-names":false,"suffix":""}],"chapter-number":"6","container-title":"Magma Redox Geochemistry, Geophysical Monograph Series","edition":"1st","editor":[{"dropping-particle":"","family":"Moretti","given":"Roberto","non-dropping-particle":"","parse-names":false,"suffix":""},{"dropping-particle":"","family":"Neuville","given":"Daniel R.","non-dropping-particle":"","parse-names":false,"suffix":""}],"id":"ITEM-6","issued":{"date-parts":[["2021","9","30"]]},"page":"115-138","publisher":"American Geophysical Union (AGU)","title":"Ionic Syntax and Equilibrium Approach to Redox Exchanges in Melts: Basic Concepts and the Case of Iron and Sulfur in Degassing Magmas","type":"chapter"},"uris":["http://www.mendeley.com/documents/?uuid=c12a953d-237c-37e8-a941-34731c9ff3db"]}],"mendeley":{"formattedCitation":"(Baker and Moretti, 2011; Fincham and Richardson, 1954; Moretti, 2021; Moretti and Ottonello, 2005, 2003; Moretti and Papale, 2004)","manualFormatting":"(e.g., Fincham and Richardson 1954; Moretti and Ottonello 2003, 2005; Moretti and Papale 2004; Baker and Moretti 2011; Moretti 2021)","plainTextFormattedCitation":"(Baker and Moretti, 2011; Fincham and Richardson, 1954; Moretti, 2021; Moretti and Ottonello, 2005, 2003; Moretti and Papale, 2004)","previouslyFormattedCitation":"(Baker and Moretti, 2011; Fincham and Richardson, 1954; Moretti, 2021; Moretti and Ottonello, 2005, 2003; Moretti and Papale, 2004)"},"properties":{"noteIndex":0},"schema":"https://github.com/citation-style-language/schema/raw/master/csl-citation.json"}</w:instrText>
      </w:r>
      <w:r w:rsidR="00E55461" w:rsidRPr="00E55461">
        <w:rPr>
          <w:rFonts w:ascii="Times New Roman" w:hAnsi="Times New Roman" w:cs="Times New Roman"/>
        </w:rPr>
        <w:fldChar w:fldCharType="separate"/>
      </w:r>
      <w:r w:rsidR="00E55461" w:rsidRPr="00E55461">
        <w:rPr>
          <w:rFonts w:ascii="Times New Roman" w:hAnsi="Times New Roman" w:cs="Times New Roman"/>
          <w:noProof/>
        </w:rPr>
        <w:t>(e.g., Fincham and Richardson 1954; Moretti and Ottonello 2003, 2005; Moretti and Papale 2004; Baker and Moretti 2011; Moretti 2021)</w:t>
      </w:r>
      <w:r w:rsidR="00E55461" w:rsidRPr="00E55461">
        <w:rPr>
          <w:rFonts w:ascii="Times New Roman" w:hAnsi="Times New Roman" w:cs="Times New Roman"/>
        </w:rPr>
        <w:fldChar w:fldCharType="end"/>
      </w:r>
      <w:r w:rsidRPr="00E55461">
        <w:rPr>
          <w:rFonts w:ascii="Times New Roman" w:hAnsi="Times New Roman" w:cs="Times New Roman"/>
        </w:rPr>
        <w:t xml:space="preserve"> can be simply described via the following reaction (again assuming there is a single type of reactive O</w:t>
      </w:r>
      <w:r w:rsidRPr="00E55461">
        <w:rPr>
          <w:rFonts w:ascii="Times New Roman" w:hAnsi="Times New Roman" w:cs="Times New Roman"/>
          <w:vertAlign w:val="superscript"/>
        </w:rPr>
        <w:t>2-</w:t>
      </w:r>
      <w:r w:rsidRPr="00E55461">
        <w:rPr>
          <w:rFonts w:ascii="Times New Roman" w:hAnsi="Times New Roman" w:cs="Times New Roman"/>
        </w:rPr>
        <w:t>) with its associated equilibrium constant,</w:t>
      </w:r>
    </w:p>
    <w:p w14:paraId="61340FCC" w14:textId="49D99DB2" w:rsidR="001054A1" w:rsidRPr="00E55461" w:rsidRDefault="00063B50" w:rsidP="00E31290">
      <w:pPr>
        <w:pStyle w:val="equation"/>
        <w:rPr>
          <w:rFonts w:ascii="Times New Roman" w:hAnsi="Times New Roman"/>
        </w:rPr>
      </w:pPr>
      <m:oMathPara>
        <m:oMath>
          <m:eqArr>
            <m:eqArrPr>
              <m:maxDist m:val="1"/>
              <m:ctrlPr>
                <w:rPr>
                  <w:rFonts w:ascii="Cambria Math" w:hAnsi="Cambria Math"/>
                </w:rPr>
              </m:ctrlPr>
            </m:eqArrPr>
            <m:e>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f>
                <m:fPr>
                  <m:ctrlPr>
                    <w:rPr>
                      <w:rFonts w:ascii="Cambria Math" w:hAnsi="Cambria Math"/>
                    </w:rPr>
                  </m:ctrlPr>
                </m:fPr>
                <m:num>
                  <m:r>
                    <m:rPr>
                      <m:sty m:val="p"/>
                    </m:rPr>
                    <w:rPr>
                      <w:rFonts w:ascii="Cambria Math" w:hAnsi="Cambria Math"/>
                    </w:rPr>
                    <m:t>3</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d>
                <m:dPr>
                  <m:ctrlPr>
                    <w:rPr>
                      <w:rFonts w:ascii="Cambria Math" w:hAnsi="Cambria Math"/>
                    </w:rPr>
                  </m:ctrlPr>
                </m:dPr>
                <m:e>
                  <m:r>
                    <w:rPr>
                      <w:rFonts w:ascii="Cambria Math" w:hAnsi="Cambria Math"/>
                    </w:rPr>
                    <m:t>m</m:t>
                  </m:r>
                </m:e>
              </m:d>
              <m:r>
                <m:rPr>
                  <m:sty m:val="p"/>
                </m:rPr>
                <w:rPr>
                  <w:rFonts w:ascii="Cambria Math" w:hAnsi="Cambria Math"/>
                </w:rPr>
                <m:t>=</m:t>
              </m:r>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d>
                <m:dPr>
                  <m:ctrlPr>
                    <w:rPr>
                      <w:rFonts w:ascii="Cambria Math" w:hAnsi="Cambria Math"/>
                    </w:rPr>
                  </m:ctrlPr>
                </m:dPr>
                <m:e>
                  <m:r>
                    <w:rPr>
                      <w:rFonts w:ascii="Cambria Math" w:hAnsi="Cambria Math"/>
                    </w:rPr>
                    <m:t>m</m:t>
                  </m:r>
                </m:e>
              </m:d>
              <m:r>
                <m:rPr>
                  <m:sty m:val="p"/>
                </m:rPr>
                <w:rPr>
                  <w:rFonts w:ascii="Cambria Math" w:hAnsi="Cambria Math"/>
                </w:rPr>
                <m:t>, #</m:t>
              </m:r>
              <m:d>
                <m:dPr>
                  <m:ctrlPr>
                    <w:rPr>
                      <w:rFonts w:ascii="Cambria Math" w:hAnsi="Cambria Math"/>
                    </w:rPr>
                  </m:ctrlPr>
                </m:dPr>
                <m:e>
                  <m:r>
                    <m:rPr>
                      <m:sty m:val="p"/>
                    </m:rPr>
                    <w:rPr>
                      <w:rFonts w:ascii="Cambria Math" w:hAnsi="Cambria Math"/>
                    </w:rPr>
                    <m:t>S35</m:t>
                  </m:r>
                </m:e>
              </m:d>
            </m:e>
          </m:eqArr>
        </m:oMath>
      </m:oMathPara>
    </w:p>
    <w:p w14:paraId="254EFEB8" w14:textId="3C838D2E" w:rsidR="001054A1" w:rsidRPr="001054A1" w:rsidRDefault="00063B50" w:rsidP="00E31290">
      <w:pPr>
        <w:pStyle w:val="equation"/>
        <w:rPr>
          <w:rFonts w:ascii="Times New Roman" w:hAnsi="Times New Roman"/>
        </w:rPr>
      </w:pPr>
      <m:oMath>
        <m:eqArr>
          <m:eqArrPr>
            <m:maxDist m:val="1"/>
            <m:ctrlPr>
              <w:rPr>
                <w:rFonts w:ascii="Cambria Math" w:hAnsi="Cambria Math"/>
              </w:rPr>
            </m:ctrlPr>
          </m:eqArrPr>
          <m:e>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up>
                    <m:r>
                      <w:rPr>
                        <w:rFonts w:ascii="Cambria Math" w:hAnsi="Cambria Math"/>
                      </w:rPr>
                      <m:t>m</m:t>
                    </m:r>
                  </m:sup>
                </m:sSubSup>
              </m:num>
              <m:den>
                <m:sSubSup>
                  <m:sSubSupPr>
                    <m:ctrlPr>
                      <w:rPr>
                        <w:rFonts w:ascii="Cambria Math" w:hAnsi="Cambria Math"/>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m:t>
                    </m:r>
                  </m:sup>
                </m:sSubSup>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m:rPr>
                                <m:sty m:val="p"/>
                              </m:rPr>
                              <w:rPr>
                                <w:rFonts w:ascii="Cambria Math" w:hAnsi="Cambria Math"/>
                              </w:rPr>
                              <m:t>3</m:t>
                            </m:r>
                          </m:sup>
                        </m:sSup>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den>
            </m:f>
            <m:r>
              <m:rPr>
                <m:sty m:val="p"/>
              </m:rPr>
              <w:rPr>
                <w:rFonts w:ascii="Cambria Math" w:hAnsi="Cambria Math"/>
              </w:rPr>
              <m:t>. #</m:t>
            </m:r>
            <m:d>
              <m:dPr>
                <m:ctrlPr>
                  <w:rPr>
                    <w:rFonts w:ascii="Cambria Math" w:hAnsi="Cambria Math"/>
                  </w:rPr>
                </m:ctrlPr>
              </m:dPr>
              <m:e>
                <m:r>
                  <m:rPr>
                    <m:sty m:val="p"/>
                  </m:rPr>
                  <w:rPr>
                    <w:rFonts w:ascii="Cambria Math" w:hAnsi="Cambria Math"/>
                  </w:rPr>
                  <m:t>S36</m:t>
                </m:r>
              </m:e>
            </m:d>
          </m:e>
        </m:eqArr>
      </m:oMath>
      <w:r w:rsidR="001054A1" w:rsidRPr="001054A1">
        <w:rPr>
          <w:rFonts w:ascii="Times New Roman" w:hAnsi="Times New Roman"/>
        </w:rPr>
        <w:t>Using similar approximations to before (</w:t>
      </w:r>
      <w:r w:rsidR="00923A61" w:rsidRPr="00B67966">
        <w:rPr>
          <w:rFonts w:ascii="Times New Roman" w:hAnsi="Times New Roman"/>
          <w:i/>
          <w:iCs/>
          <w:color w:val="000000" w:themeColor="text1"/>
        </w:rPr>
        <w:t>γ</w:t>
      </w:r>
      <w:r w:rsidR="00923A61" w:rsidRPr="00FD2F77">
        <w:rPr>
          <w:rFonts w:ascii="Times New Roman" w:hAnsi="Times New Roman"/>
          <w:i/>
          <w:iCs/>
          <w:color w:val="000000" w:themeColor="text1"/>
          <w:vertAlign w:val="superscript"/>
        </w:rPr>
        <w:t>m</w:t>
      </w:r>
      <w:r w:rsidR="00923A61" w:rsidRPr="00BD449C">
        <w:rPr>
          <w:rFonts w:ascii="Times New Roman" w:hAnsi="Times New Roman"/>
          <w:color w:val="000000" w:themeColor="text1"/>
          <w:vertAlign w:val="subscript"/>
        </w:rPr>
        <w:t>S</w:t>
      </w:r>
      <w:r w:rsidR="00923A61">
        <w:rPr>
          <w:rFonts w:ascii="Times New Roman" w:hAnsi="Times New Roman"/>
          <w:color w:val="000000" w:themeColor="text1"/>
          <w:vertAlign w:val="subscript"/>
        </w:rPr>
        <w:t>O4</w:t>
      </w:r>
      <w:r w:rsidR="00923A61" w:rsidRPr="00BD449C">
        <w:rPr>
          <w:rFonts w:ascii="Times New Roman" w:hAnsi="Times New Roman"/>
          <w:color w:val="000000" w:themeColor="text1"/>
          <w:vertAlign w:val="subscript"/>
        </w:rPr>
        <w:t>2-</w:t>
      </w:r>
      <w:r w:rsidR="00923A61" w:rsidRPr="00BD449C">
        <w:rPr>
          <w:rFonts w:ascii="Times New Roman" w:hAnsi="Times New Roman"/>
          <w:color w:val="000000" w:themeColor="text1"/>
        </w:rPr>
        <w:t xml:space="preserve"> = 1</w:t>
      </w:r>
      <w:r w:rsidR="001054A1" w:rsidRPr="001054A1">
        <w:rPr>
          <w:rFonts w:ascii="Times New Roman" w:hAnsi="Times New Roman"/>
        </w:rPr>
        <w:t xml:space="preserve"> and </w:t>
      </w:r>
      <w:r w:rsidR="00923A61">
        <w:rPr>
          <w:rFonts w:ascii="Times New Roman" w:hAnsi="Times New Roman"/>
          <w:i/>
          <w:iCs/>
          <w:color w:val="000000" w:themeColor="text1"/>
        </w:rPr>
        <w:t>a</w:t>
      </w:r>
      <w:r w:rsidR="00923A61" w:rsidRPr="00FD2F77">
        <w:rPr>
          <w:rFonts w:ascii="Times New Roman" w:hAnsi="Times New Roman"/>
          <w:i/>
          <w:iCs/>
          <w:color w:val="000000" w:themeColor="text1"/>
          <w:vertAlign w:val="superscript"/>
        </w:rPr>
        <w:t>m</w:t>
      </w:r>
      <w:r w:rsidR="00923A61" w:rsidRPr="00BD449C">
        <w:rPr>
          <w:rFonts w:ascii="Times New Roman" w:hAnsi="Times New Roman"/>
          <w:color w:val="000000" w:themeColor="text1"/>
          <w:vertAlign w:val="subscript"/>
        </w:rPr>
        <w:t>O2-</w:t>
      </w:r>
      <w:r w:rsidR="00923A61" w:rsidRPr="00BD449C">
        <w:rPr>
          <w:rFonts w:ascii="Times New Roman" w:hAnsi="Times New Roman"/>
          <w:color w:val="000000" w:themeColor="text1"/>
        </w:rPr>
        <w:t xml:space="preserve"> = </w:t>
      </w:r>
      <w:r w:rsidR="00923A61">
        <w:rPr>
          <w:rFonts w:ascii="Times New Roman" w:hAnsi="Times New Roman"/>
          <w:i/>
          <w:iCs/>
          <w:color w:val="000000" w:themeColor="text1"/>
        </w:rPr>
        <w:t>a</w:t>
      </w:r>
      <w:r w:rsidR="00923A61" w:rsidRPr="00FD2F77">
        <w:rPr>
          <w:rFonts w:ascii="Times New Roman" w:hAnsi="Times New Roman"/>
          <w:i/>
          <w:iCs/>
          <w:color w:val="000000" w:themeColor="text1"/>
          <w:vertAlign w:val="superscript"/>
        </w:rPr>
        <w:t>m</w:t>
      </w:r>
      <w:r w:rsidR="00923A61" w:rsidRPr="00BD449C">
        <w:rPr>
          <w:rFonts w:ascii="Times New Roman" w:hAnsi="Times New Roman"/>
          <w:color w:val="000000" w:themeColor="text1"/>
          <w:vertAlign w:val="superscript"/>
        </w:rPr>
        <w:t>,0</w:t>
      </w:r>
      <w:r w:rsidR="00923A61" w:rsidRPr="00BD449C">
        <w:rPr>
          <w:rFonts w:ascii="Times New Roman" w:hAnsi="Times New Roman"/>
          <w:color w:val="000000" w:themeColor="text1"/>
          <w:vertAlign w:val="subscript"/>
        </w:rPr>
        <w:t>O2-</w:t>
      </w:r>
      <w:r w:rsidR="001054A1" w:rsidRPr="001054A1">
        <w:rPr>
          <w:rFonts w:ascii="Times New Roman" w:hAnsi="Times New Roman"/>
        </w:rPr>
        <w:t>):</w:t>
      </w:r>
    </w:p>
    <w:p w14:paraId="628EAB1D" w14:textId="1DCBFD8C"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p>
                    <m:sSupPr>
                      <m:ctrlPr>
                        <w:rPr>
                          <w:rFonts w:ascii="Cambria Math" w:hAnsi="Cambria Math"/>
                          <w:i/>
                        </w:rPr>
                      </m:ctrlPr>
                    </m:sSupPr>
                    <m:e>
                      <m:d>
                        <m:dPr>
                          <m:ctrlPr>
                            <w:rPr>
                              <w:rFonts w:ascii="Cambria Math" w:hAnsi="Cambria Math"/>
                              <w:i/>
                            </w:rPr>
                          </m:ctrlPr>
                        </m:dPr>
                        <m:e>
                          <m:sSubSup>
                            <m:sSubSupPr>
                              <m:ctrlPr>
                                <w:rPr>
                                  <w:rFonts w:ascii="Cambria Math" w:hAnsi="Cambria Math"/>
                                  <w:i/>
                                </w:rPr>
                              </m:ctrlPr>
                            </m:sSubSupPr>
                            <m:e>
                              <m:r>
                                <w:rPr>
                                  <w:rFonts w:ascii="Cambria Math" w:hAnsi="Cambria Math"/>
                                </w:rPr>
                                <m:t>x</m:t>
                              </m:r>
                            </m:e>
                            <m:sub>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up>
                              <m:r>
                                <w:rPr>
                                  <w:rFonts w:ascii="Cambria Math" w:hAnsi="Cambria Math"/>
                                </w:rPr>
                                <m:t>m</m:t>
                              </m:r>
                            </m:sup>
                          </m:sSubSup>
                        </m:e>
                      </m:d>
                    </m:e>
                    <m:sup>
                      <m:r>
                        <w:rPr>
                          <w:rFonts w:ascii="Cambria Math" w:hAnsi="Cambria Math"/>
                        </w:rPr>
                        <m:t>2</m:t>
                      </m:r>
                    </m:sup>
                  </m:sSup>
                </m:num>
                <m:den>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Sub>
                          <m:sSubSup>
                            <m:sSubSupPr>
                              <m:ctrlPr>
                                <w:rPr>
                                  <w:rFonts w:ascii="Cambria Math" w:hAnsi="Cambria Math"/>
                                  <w:i/>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m,0</m:t>
                              </m:r>
                            </m:sup>
                          </m:sSubSup>
                        </m:e>
                      </m:d>
                    </m:e>
                    <m:sup>
                      <m:r>
                        <w:rPr>
                          <w:rFonts w:ascii="Cambria Math" w:hAnsi="Cambria Math"/>
                        </w:rPr>
                        <m:t>2</m:t>
                      </m:r>
                    </m:sup>
                  </m:sSup>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den>
              </m:f>
              <m:r>
                <w:rPr>
                  <w:rFonts w:ascii="Cambria Math" w:hAnsi="Cambria Math"/>
                </w:rPr>
                <m:t>. #</m:t>
              </m:r>
              <m:d>
                <m:dPr>
                  <m:ctrlPr>
                    <w:rPr>
                      <w:rFonts w:ascii="Cambria Math" w:hAnsi="Cambria Math"/>
                      <w:i/>
                    </w:rPr>
                  </m:ctrlPr>
                </m:dPr>
                <m:e>
                  <m:r>
                    <m:rPr>
                      <m:sty m:val="p"/>
                    </m:rPr>
                    <w:rPr>
                      <w:rFonts w:ascii="Cambria Math" w:hAnsi="Cambria Math"/>
                    </w:rPr>
                    <m:t>S37</m:t>
                  </m:r>
                </m:e>
              </m:d>
            </m:e>
          </m:eqArr>
        </m:oMath>
      </m:oMathPara>
    </w:p>
    <w:p w14:paraId="4B934452" w14:textId="65B3DD63" w:rsidR="001054A1" w:rsidRPr="001054A1" w:rsidRDefault="001054A1" w:rsidP="001C4A06">
      <w:pPr>
        <w:ind w:firstLine="720"/>
        <w:jc w:val="both"/>
        <w:rPr>
          <w:rFonts w:ascii="Times New Roman" w:hAnsi="Times New Roman" w:cs="Times New Roman"/>
        </w:rPr>
      </w:pPr>
      <w:r w:rsidRPr="001054A1">
        <w:rPr>
          <w:rFonts w:ascii="Times New Roman" w:hAnsi="Times New Roman" w:cs="Times New Roman"/>
        </w:rPr>
        <w:t>Typically</w:t>
      </w:r>
      <w:r w:rsidR="001E4E2F">
        <w:rPr>
          <w:rFonts w:ascii="Times New Roman" w:hAnsi="Times New Roman" w:cs="Times New Roman"/>
        </w:rPr>
        <w:t>,</w:t>
      </w:r>
      <w:r w:rsidRPr="001054A1">
        <w:rPr>
          <w:rFonts w:ascii="Times New Roman" w:hAnsi="Times New Roman" w:cs="Times New Roman"/>
        </w:rPr>
        <w:t xml:space="preserve"> only the total </w:t>
      </w:r>
      <w:proofErr w:type="spellStart"/>
      <w:r w:rsidRPr="001054A1">
        <w:rPr>
          <w:rFonts w:ascii="Times New Roman" w:hAnsi="Times New Roman" w:cs="Times New Roman"/>
        </w:rPr>
        <w:t>sulfur</w:t>
      </w:r>
      <w:proofErr w:type="spellEnd"/>
      <w:r w:rsidRPr="001054A1">
        <w:rPr>
          <w:rFonts w:ascii="Times New Roman" w:hAnsi="Times New Roman" w:cs="Times New Roman"/>
        </w:rPr>
        <w:t xml:space="preserve"> content (S</w:t>
      </w:r>
      <w:r w:rsidRPr="001054A1">
        <w:rPr>
          <w:rFonts w:ascii="Times New Roman" w:hAnsi="Times New Roman" w:cs="Times New Roman"/>
          <w:vertAlign w:val="subscript"/>
        </w:rPr>
        <w:t>T</w:t>
      </w:r>
      <w:r w:rsidRPr="001054A1">
        <w:rPr>
          <w:rFonts w:ascii="Times New Roman" w:hAnsi="Times New Roman" w:cs="Times New Roman"/>
        </w:rPr>
        <w:t>) dissolved in the silicate melt (or glass) is known, rather than distinguishable concentrations of S</w:t>
      </w:r>
      <w:r w:rsidRPr="001054A1">
        <w:rPr>
          <w:rFonts w:ascii="Times New Roman" w:hAnsi="Times New Roman" w:cs="Times New Roman"/>
          <w:vertAlign w:val="superscript"/>
        </w:rPr>
        <w:t>2-</w:t>
      </w:r>
      <w:r w:rsidRPr="001054A1">
        <w:rPr>
          <w:rFonts w:ascii="Times New Roman" w:hAnsi="Times New Roman" w:cs="Times New Roman"/>
        </w:rPr>
        <w:t xml:space="preserve"> and </w:t>
      </w:r>
      <w:r w:rsidR="00923A61">
        <w:rPr>
          <w:rFonts w:ascii="Times New Roman" w:hAnsi="Times New Roman" w:cs="Times New Roman"/>
        </w:rPr>
        <w:t>SO</w:t>
      </w:r>
      <w:r w:rsidR="00923A61" w:rsidRPr="00923A61">
        <w:rPr>
          <w:rFonts w:ascii="Times New Roman" w:hAnsi="Times New Roman" w:cs="Times New Roman"/>
          <w:vertAlign w:val="subscript"/>
        </w:rPr>
        <w:t>4</w:t>
      </w:r>
      <w:r w:rsidR="00923A61" w:rsidRPr="00923A61">
        <w:rPr>
          <w:rFonts w:ascii="Times New Roman" w:hAnsi="Times New Roman" w:cs="Times New Roman"/>
          <w:vertAlign w:val="superscript"/>
        </w:rPr>
        <w:t>2-</w:t>
      </w:r>
      <w:r w:rsidRPr="001054A1">
        <w:rPr>
          <w:rFonts w:ascii="Times New Roman" w:hAnsi="Times New Roman" w:cs="Times New Roman"/>
        </w:rPr>
        <w:t>. Substituting equations (</w:t>
      </w:r>
      <w:r w:rsidR="000D5520">
        <w:rPr>
          <w:rFonts w:ascii="Times New Roman" w:hAnsi="Times New Roman" w:cs="Times New Roman"/>
        </w:rPr>
        <w:t>S</w:t>
      </w:r>
      <w:r w:rsidR="00D565F5">
        <w:rPr>
          <w:rFonts w:ascii="Times New Roman" w:hAnsi="Times New Roman" w:cs="Times New Roman"/>
          <w:color w:val="000000" w:themeColor="text1"/>
        </w:rPr>
        <w:t>3</w:t>
      </w:r>
      <w:r w:rsidR="001C4A06">
        <w:rPr>
          <w:rFonts w:ascii="Times New Roman" w:hAnsi="Times New Roman" w:cs="Times New Roman"/>
          <w:color w:val="000000" w:themeColor="text1"/>
        </w:rPr>
        <w:t>4</w:t>
      </w:r>
      <w:r w:rsidRPr="001054A1">
        <w:rPr>
          <w:rFonts w:ascii="Times New Roman" w:hAnsi="Times New Roman" w:cs="Times New Roman"/>
        </w:rPr>
        <w:t>) and (</w:t>
      </w:r>
      <w:r w:rsidR="000D5520">
        <w:rPr>
          <w:rFonts w:ascii="Times New Roman" w:hAnsi="Times New Roman" w:cs="Times New Roman"/>
        </w:rPr>
        <w:t>S</w:t>
      </w:r>
      <w:r w:rsidR="00D565F5">
        <w:rPr>
          <w:rFonts w:ascii="Times New Roman" w:hAnsi="Times New Roman" w:cs="Times New Roman"/>
          <w:color w:val="000000" w:themeColor="text1"/>
        </w:rPr>
        <w:t>3</w:t>
      </w:r>
      <w:r w:rsidR="001C4A06">
        <w:rPr>
          <w:rFonts w:ascii="Times New Roman" w:hAnsi="Times New Roman" w:cs="Times New Roman"/>
          <w:color w:val="000000" w:themeColor="text1"/>
        </w:rPr>
        <w:t>7</w:t>
      </w:r>
      <w:r w:rsidRPr="001054A1">
        <w:rPr>
          <w:rFonts w:ascii="Times New Roman" w:hAnsi="Times New Roman" w:cs="Times New Roman"/>
        </w:rPr>
        <w:t xml:space="preserve">) for </w:t>
      </w:r>
      <w:r w:rsidR="00923A61" w:rsidRPr="00923A61">
        <w:rPr>
          <w:rFonts w:ascii="Times New Roman" w:eastAsiaTheme="minorEastAsia" w:hAnsi="Times New Roman" w:cs="Times New Roman"/>
          <w:i/>
          <w:iCs/>
        </w:rPr>
        <w:t>x</w:t>
      </w:r>
      <w:r w:rsidR="00923A61" w:rsidRPr="00923A61">
        <w:rPr>
          <w:rFonts w:ascii="Times New Roman" w:eastAsiaTheme="minorEastAsia" w:hAnsi="Times New Roman" w:cs="Times New Roman"/>
          <w:i/>
          <w:iCs/>
          <w:vertAlign w:val="superscript"/>
        </w:rPr>
        <w:t>m</w:t>
      </w:r>
      <w:r w:rsidR="00923A61" w:rsidRPr="00923A61">
        <w:rPr>
          <w:rFonts w:ascii="Times New Roman" w:eastAsiaTheme="minorEastAsia" w:hAnsi="Times New Roman" w:cs="Times New Roman"/>
          <w:vertAlign w:val="subscript"/>
        </w:rPr>
        <w:t>S2-</w:t>
      </w:r>
      <w:r w:rsidRPr="001054A1">
        <w:rPr>
          <w:rFonts w:ascii="Times New Roman" w:hAnsi="Times New Roman" w:cs="Times New Roman"/>
        </w:rPr>
        <w:t xml:space="preserve"> and </w:t>
      </w:r>
      <w:r w:rsidR="00923A61" w:rsidRPr="00B016E9">
        <w:rPr>
          <w:rFonts w:ascii="Times New Roman" w:eastAsiaTheme="minorEastAsia" w:hAnsi="Times New Roman" w:cs="Times New Roman"/>
          <w:i/>
          <w:iCs/>
        </w:rPr>
        <w:t>x</w:t>
      </w:r>
      <w:r w:rsidR="00923A61" w:rsidRPr="00B016E9">
        <w:rPr>
          <w:rFonts w:ascii="Times New Roman" w:eastAsiaTheme="minorEastAsia" w:hAnsi="Times New Roman" w:cs="Times New Roman"/>
          <w:i/>
          <w:iCs/>
          <w:vertAlign w:val="superscript"/>
        </w:rPr>
        <w:t>m</w:t>
      </w:r>
      <w:r w:rsidR="00923A61" w:rsidRPr="00B016E9">
        <w:rPr>
          <w:rFonts w:ascii="Times New Roman" w:eastAsiaTheme="minorEastAsia" w:hAnsi="Times New Roman" w:cs="Times New Roman"/>
          <w:vertAlign w:val="subscript"/>
        </w:rPr>
        <w:t>S</w:t>
      </w:r>
      <w:r w:rsidR="00923A61">
        <w:rPr>
          <w:rFonts w:ascii="Times New Roman" w:eastAsiaTheme="minorEastAsia" w:hAnsi="Times New Roman" w:cs="Times New Roman"/>
          <w:vertAlign w:val="subscript"/>
        </w:rPr>
        <w:t>O4</w:t>
      </w:r>
      <w:r w:rsidR="00923A61" w:rsidRPr="00B016E9">
        <w:rPr>
          <w:rFonts w:ascii="Times New Roman" w:eastAsiaTheme="minorEastAsia" w:hAnsi="Times New Roman" w:cs="Times New Roman"/>
          <w:vertAlign w:val="subscript"/>
        </w:rPr>
        <w:t>2-</w:t>
      </w:r>
      <w:r w:rsidR="00804FB8" w:rsidRPr="00804FB8">
        <w:rPr>
          <w:rFonts w:ascii="Times New Roman" w:eastAsiaTheme="minorEastAsia" w:hAnsi="Times New Roman" w:cs="Times New Roman"/>
        </w:rPr>
        <w:t xml:space="preserve"> </w:t>
      </w:r>
      <w:r w:rsidRPr="001054A1">
        <w:rPr>
          <w:rFonts w:ascii="Times New Roman" w:hAnsi="Times New Roman" w:cs="Times New Roman"/>
        </w:rPr>
        <w:t>respectively, into the mass balance equation (</w:t>
      </w:r>
      <w:r w:rsidR="000D5520">
        <w:rPr>
          <w:rFonts w:ascii="Times New Roman" w:hAnsi="Times New Roman" w:cs="Times New Roman"/>
        </w:rPr>
        <w:t>S</w:t>
      </w:r>
      <w:r w:rsidR="00D565F5">
        <w:rPr>
          <w:rFonts w:ascii="Times New Roman" w:hAnsi="Times New Roman" w:cs="Times New Roman"/>
          <w:color w:val="000000" w:themeColor="text1"/>
        </w:rPr>
        <w:t>3</w:t>
      </w:r>
      <w:r w:rsidR="001C4A06">
        <w:rPr>
          <w:rFonts w:ascii="Times New Roman" w:hAnsi="Times New Roman" w:cs="Times New Roman"/>
          <w:color w:val="000000" w:themeColor="text1"/>
        </w:rPr>
        <w:t>1</w:t>
      </w:r>
      <w:r w:rsidRPr="001054A1">
        <w:rPr>
          <w:rFonts w:ascii="Times New Roman" w:hAnsi="Times New Roman" w:cs="Times New Roman"/>
        </w:rPr>
        <w:t>) and rearranging gives:</w:t>
      </w:r>
    </w:p>
    <w:p w14:paraId="6BB0CC89" w14:textId="3CA0B13E"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Sup>
                            <m:sSubSupPr>
                              <m:ctrlPr>
                                <w:rPr>
                                  <w:rFonts w:ascii="Cambria Math" w:hAnsi="Cambria Math"/>
                                </w:rPr>
                              </m:ctrlPr>
                            </m:sSubSupPr>
                            <m:e>
                              <m:r>
                                <w:rPr>
                                  <w:rFonts w:ascii="Cambria Math" w:hAnsi="Cambria Math"/>
                                </w:rPr>
                                <m:t>x</m:t>
                              </m:r>
                            </m:e>
                            <m:sub>
                              <m:sSub>
                                <m:sSubPr>
                                  <m:ctrlPr>
                                    <w:rPr>
                                      <w:rFonts w:ascii="Cambria Math" w:hAnsi="Cambria Math"/>
                                      <w:iCs/>
                                    </w:rPr>
                                  </m:ctrlPr>
                                </m:sSubPr>
                                <m:e>
                                  <m:r>
                                    <m:rPr>
                                      <m:sty m:val="p"/>
                                    </m:rPr>
                                    <w:rPr>
                                      <w:rFonts w:ascii="Cambria Math" w:hAnsi="Cambria Math"/>
                                    </w:rPr>
                                    <m:t>S</m:t>
                                  </m:r>
                                </m:e>
                                <m:sub>
                                  <m:r>
                                    <m:rPr>
                                      <m:sty m:val="p"/>
                                    </m:rPr>
                                    <w:rPr>
                                      <w:rFonts w:ascii="Cambria Math" w:hAnsi="Cambria Math"/>
                                    </w:rPr>
                                    <m:t>T</m:t>
                                  </m:r>
                                </m:sub>
                              </m:sSub>
                            </m:sub>
                            <m:sup>
                              <m:r>
                                <w:rPr>
                                  <w:rFonts w:ascii="Cambria Math" w:hAnsi="Cambria Math"/>
                                </w:rPr>
                                <m:t>m</m:t>
                              </m:r>
                            </m:sup>
                          </m:sSubSup>
                        </m:e>
                      </m:d>
                    </m:e>
                    <m:sup>
                      <m:r>
                        <w:rPr>
                          <w:rFonts w:ascii="Cambria Math" w:hAnsi="Cambria Math"/>
                        </w:rPr>
                        <m:t>2</m:t>
                      </m:r>
                    </m:sup>
                  </m:sSup>
                </m:num>
                <m:den>
                  <m:sSup>
                    <m:sSupPr>
                      <m:ctrlPr>
                        <w:rPr>
                          <w:rFonts w:ascii="Cambria Math" w:hAnsi="Cambria Math"/>
                        </w:rPr>
                      </m:ctrlPr>
                    </m:sSupPr>
                    <m:e>
                      <m:d>
                        <m:dPr>
                          <m:begChr m:val="["/>
                          <m:endChr m:val="]"/>
                          <m:ctrlPr>
                            <w:rPr>
                              <w:rFonts w:ascii="Cambria Math" w:hAnsi="Cambria Math"/>
                            </w:rPr>
                          </m:ctrlPr>
                        </m:dPr>
                        <m:e>
                          <m:d>
                            <m:dPr>
                              <m:ctrlPr>
                                <w:rPr>
                                  <w:rFonts w:ascii="Cambria Math" w:hAnsi="Cambria Math"/>
                                </w:rPr>
                              </m:ctrlPr>
                            </m:dPr>
                            <m:e>
                              <m:sSub>
                                <m:sSubPr>
                                  <m:ctrlPr>
                                    <w:rPr>
                                      <w:rFonts w:ascii="Cambria Math" w:hAnsi="Cambria Math"/>
                                    </w:rPr>
                                  </m:ctrlPr>
                                </m:sSubPr>
                                <m:e>
                                  <m:r>
                                    <w:rPr>
                                      <w:rFonts w:ascii="Cambria Math" w:hAnsi="Cambria Math"/>
                                    </w:rPr>
                                    <m:t>K</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Sub>
                              <m:sSubSup>
                                <m:sSubSupPr>
                                  <m:ctrlPr>
                                    <w:rPr>
                                      <w:rFonts w:ascii="Cambria Math" w:hAnsi="Cambria Math"/>
                                      <w:i/>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m,0</m:t>
                                  </m:r>
                                </m:sup>
                              </m:sSubSup>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0.5</m:t>
                              </m:r>
                            </m:sup>
                          </m:sSup>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K</m:t>
                                  </m:r>
                                </m:e>
                                <m:sub>
                                  <m:sSubSup>
                                    <m:sSubSupPr>
                                      <m:ctrlPr>
                                        <w:rPr>
                                          <w:rFonts w:ascii="Cambria Math" w:hAnsi="Cambria Math"/>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Sub>
                              <m:sSubSup>
                                <m:sSubSupPr>
                                  <m:ctrlPr>
                                    <w:rPr>
                                      <w:rFonts w:ascii="Cambria Math" w:hAnsi="Cambria Math"/>
                                      <w:i/>
                                    </w:rPr>
                                  </m:ctrlPr>
                                </m:sSubSupPr>
                                <m:e>
                                  <m:r>
                                    <w:rPr>
                                      <w:rFonts w:ascii="Cambria Math" w:hAnsi="Cambria Math"/>
                                    </w:rPr>
                                    <m:t>a</m:t>
                                  </m:r>
                                </m:e>
                                <m:sub>
                                  <m:sSup>
                                    <m:sSupPr>
                                      <m:ctrlPr>
                                        <w:rPr>
                                          <w:rFonts w:ascii="Cambria Math" w:hAnsi="Cambria Math"/>
                                        </w:rPr>
                                      </m:ctrlPr>
                                    </m:sSupPr>
                                    <m:e>
                                      <m:r>
                                        <m:rPr>
                                          <m:sty m:val="p"/>
                                        </m:rPr>
                                        <w:rPr>
                                          <w:rFonts w:ascii="Cambria Math" w:hAnsi="Cambria Math"/>
                                        </w:rPr>
                                        <m:t>O</m:t>
                                      </m:r>
                                    </m:e>
                                    <m:sup>
                                      <m:r>
                                        <m:rPr>
                                          <m:sty m:val="p"/>
                                        </m:rPr>
                                        <w:rPr>
                                          <w:rFonts w:ascii="Cambria Math" w:hAnsi="Cambria Math"/>
                                        </w:rPr>
                                        <m:t>2-</m:t>
                                      </m:r>
                                    </m:sup>
                                  </m:sSup>
                                </m:sub>
                                <m:sup>
                                  <m:r>
                                    <w:rPr>
                                      <w:rFonts w:ascii="Cambria Math" w:hAnsi="Cambria Math"/>
                                    </w:rPr>
                                    <m:t>m,0</m:t>
                                  </m:r>
                                </m:sup>
                              </m:sSubSup>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1.5</m:t>
                              </m:r>
                            </m:sup>
                          </m:sSup>
                        </m:e>
                      </m:d>
                    </m:e>
                    <m:sup>
                      <m:r>
                        <w:rPr>
                          <w:rFonts w:ascii="Cambria Math" w:hAnsi="Cambria Math"/>
                        </w:rPr>
                        <m:t>2</m:t>
                      </m:r>
                    </m:sup>
                  </m:sSup>
                </m:den>
              </m:f>
              <m:r>
                <w:rPr>
                  <w:rFonts w:ascii="Cambria Math" w:hAnsi="Cambria Math"/>
                </w:rPr>
                <m:t>. #</m:t>
              </m:r>
              <m:d>
                <m:dPr>
                  <m:ctrlPr>
                    <w:rPr>
                      <w:rFonts w:ascii="Cambria Math" w:hAnsi="Cambria Math"/>
                      <w:i/>
                    </w:rPr>
                  </m:ctrlPr>
                </m:dPr>
                <m:e>
                  <m:r>
                    <m:rPr>
                      <m:sty m:val="p"/>
                    </m:rPr>
                    <w:rPr>
                      <w:rFonts w:ascii="Cambria Math" w:hAnsi="Cambria Math"/>
                    </w:rPr>
                    <m:t>S38</m:t>
                  </m:r>
                  <m:ctrlPr>
                    <w:rPr>
                      <w:rFonts w:ascii="Cambria Math" w:hAnsi="Cambria Math"/>
                    </w:rPr>
                  </m:ctrlPr>
                </m:e>
              </m:d>
            </m:e>
          </m:eqArr>
        </m:oMath>
      </m:oMathPara>
    </w:p>
    <w:p w14:paraId="38497F9E" w14:textId="7BBC72DC" w:rsidR="001054A1" w:rsidRPr="001054A1" w:rsidRDefault="00B1743B" w:rsidP="00147AF9">
      <w:pPr>
        <w:ind w:firstLine="720"/>
        <w:jc w:val="both"/>
        <w:rPr>
          <w:rFonts w:ascii="Times New Roman" w:hAnsi="Times New Roman" w:cs="Times New Roman"/>
        </w:rPr>
      </w:pPr>
      <w:r>
        <w:rPr>
          <w:rFonts w:ascii="Times New Roman" w:hAnsi="Times New Roman" w:cs="Times New Roman"/>
        </w:rPr>
        <w:t xml:space="preserve">The solubility of </w:t>
      </w:r>
      <w:proofErr w:type="spellStart"/>
      <w:r>
        <w:rPr>
          <w:rFonts w:ascii="Times New Roman" w:hAnsi="Times New Roman" w:cs="Times New Roman"/>
        </w:rPr>
        <w:t>sulfur</w:t>
      </w:r>
      <w:proofErr w:type="spellEnd"/>
      <w:r>
        <w:rPr>
          <w:rFonts w:ascii="Times New Roman" w:hAnsi="Times New Roman" w:cs="Times New Roman"/>
        </w:rPr>
        <w:t xml:space="preserve"> depends on melt composition, </w:t>
      </w:r>
      <w:r w:rsidRPr="00B1743B">
        <w:rPr>
          <w:rFonts w:ascii="Times New Roman" w:hAnsi="Times New Roman" w:cs="Times New Roman"/>
          <w:i/>
          <w:iCs/>
        </w:rPr>
        <w:t>P</w:t>
      </w:r>
      <w:r>
        <w:rPr>
          <w:rFonts w:ascii="Times New Roman" w:hAnsi="Times New Roman" w:cs="Times New Roman"/>
        </w:rPr>
        <w:t xml:space="preserve">, and </w:t>
      </w:r>
      <w:r w:rsidRPr="00B1743B">
        <w:rPr>
          <w:rFonts w:ascii="Times New Roman" w:hAnsi="Times New Roman" w:cs="Times New Roman"/>
          <w:i/>
          <w:iCs/>
        </w:rPr>
        <w:t>T</w:t>
      </w:r>
      <w:r>
        <w:rPr>
          <w:rFonts w:ascii="Times New Roman" w:hAnsi="Times New Roman" w:cs="Times New Roman"/>
        </w:rPr>
        <w:t xml:space="preserve"> </w:t>
      </w:r>
      <w:r w:rsidRPr="00CC0D73">
        <w:rPr>
          <w:rFonts w:ascii="Times New Roman" w:hAnsi="Times New Roman" w:cs="Times New Roman"/>
        </w:rPr>
        <w:fldChar w:fldCharType="begin" w:fldLock="1"/>
      </w:r>
      <w:r w:rsidR="00E0491E">
        <w:rPr>
          <w:rFonts w:ascii="Times New Roman" w:hAnsi="Times New Roman" w:cs="Times New Roman"/>
        </w:rPr>
        <w:instrText>ADDIN CSL_CITATION {"citationItems":[{"id":"ITEM-1","itemData":{"DOI":"10.1016/J.GCA.2004.09.006","ISSN":"0016-7037","abstract":"A Conjugated Toop-Samis-Flood-Grjotheim (CTSFG) model is developed by combining the framework of the Toop-Samis polymeric approach with the Flood-Grjotheim theoretical treatment of silicate melts and slags. Electrically equivalent ion fractions are computed over the appropriate matrixes (anionic and cationic) in a Temkin notation for fused salts, and are used to weigh the contribution of the various disproportionation reactions of type:\nM2/νO(melt)+½S2(gas)</w:instrText>
      </w:r>
      <w:r w:rsidR="00E0491E">
        <w:rPr>
          <w:rFonts w:ascii="Cambria Math" w:hAnsi="Cambria Math" w:cs="Cambria Math"/>
        </w:rPr>
        <w:instrText>⇔</w:instrText>
      </w:r>
      <w:r w:rsidR="00E0491E">
        <w:rPr>
          <w:rFonts w:ascii="Times New Roman" w:hAnsi="Times New Roman" w:cs="Times New Roman"/>
        </w:rPr>
        <w:instrText>M2/νS(melt)+½O2(gas)M2/νO(melt)+½S2(gas)+32O2,(gas)</w:instrText>
      </w:r>
      <w:r w:rsidR="00E0491E">
        <w:rPr>
          <w:rFonts w:ascii="Cambria Math" w:hAnsi="Cambria Math" w:cs="Cambria Math"/>
        </w:rPr>
        <w:instrText>⇔</w:instrText>
      </w:r>
      <w:r w:rsidR="00E0491E">
        <w:rPr>
          <w:rFonts w:ascii="Times New Roman" w:hAnsi="Times New Roman" w:cs="Times New Roman"/>
        </w:rPr>
        <w:instrText xml:space="preserve">M2/νSO4(melt) ν being the charge of the generic Mν+ cation. The extension of the anionic matrix is calculated in the framework of a previously developed polymeric model (Ottonello et al., 2001), based on a parameterization of Lux-Flood acid-base properties of melt components. Model activities follow the Raoultian behavior implicit in the Temkin notation, without the needs of introducing adjustable parameters. The CTSFG model is based on a large amount of data available in literature and exhibits a satisfactory heuristic capability, with virtually no compositional limits, as long as the structural role given to each oxide holds. The model may be employed to compute gas-melt equilibria involving sulfur and allows computing sulfide and sulfate contents of silicate melts whenever the fugacity of a gaseous sulfur species and oxygen are known. Alternatively, the model calculates the oxidation state of the system (i.e., oxygen fugacity), whenever an analytical determination of either sulfide/sulfate or ferrous/ferric ratios in the melt is provided. Calculated sulfide and sulfate capacities allow the estimates of sulfur abundance in various melts of geological interest, both under anhydrous and hydrous conditions or, alternatively, of fS2, given fO2 and the bulk sulfur content. In this case, fSO2 and fH2S may be eventually computed along the water-sulfur-melt boundary provided fH2O is known.","author":[{"dropping-particle":"","family":"Moretti","given":"Roberto","non-dropping-particle":"","parse-names":false,"suffix":""},{"dropping-particle":"","family":"Ottonello","given":"Giulio","non-dropping-particle":"","parse-names":false,"suffix":""}],"container-title":"Geochimica et Cosmochimica Acta","id":"ITEM-1","issue":"4","issued":{"date-parts":[["2005","2","15"]]},"page":"801-823","publisher":"Pergamon","title":"Solubility and speciation of sulfur in silicate melts: The Conjugated Toop-Samis-Flood-Grjotheim (CTSFG) model","type":"article-journal","volume":"69"},"uris":["http://www.mendeley.com/documents/?uuid=9a0702e1-597c-3421-9ccb-e12463875cc0"]},{"id":"ITEM-2","itemData":{"DOI":"10.1016/J.EPSL.2018.12.006","ISSN":"0012-821X","abstract":"We have determined the chemical speciation of dissolved sulfur and the sulfur concentration at fixed oxygen and sulfur fugacities for a wide range of silicate melt compositions (from Fe-rich basalt to dacite). Each melt was equilibrated at 1300°C and 1-atmosphere pressure at oxygen fugacities (fO2) between −1.67 and +1.6 log units relative to the Fayalite–Magnetite–Quartz (FMQ) buffer and absolute sulfur fugacities between −5.1 and −1.2 log units. The fO2 and fS2 of the experiments were controlled by using gas mixtures of CO–CO2–SO2. The speciation of sulfur in the quenched glasses was determined using both X-ray Absorption Near-Edge Spectroscopy (XANES), and from the dependence of equilibrium sulfur concentration on the fS2/fO2 ratio measured by secondary-ion mass spectrometry (SIMS) and electron microprobe. The speciation of dissolved sulfur in each melt undergoes an abrupt transformation from S2− to S6+ with increasing fO2, and this transition is shifted </w:instrText>
      </w:r>
      <w:r w:rsidR="00E0491E">
        <w:rPr>
          <w:rFonts w:ascii="Cambria Math" w:hAnsi="Cambria Math" w:cs="Cambria Math"/>
        </w:rPr>
        <w:instrText>∼</w:instrText>
      </w:r>
      <w:r w:rsidR="00E0491E">
        <w:rPr>
          <w:rFonts w:ascii="Times New Roman" w:hAnsi="Times New Roman" w:cs="Times New Roman"/>
        </w:rPr>
        <w:instrText xml:space="preserve">0.5 log units higher in fO2 as melt FeO concentration increases from </w:instrText>
      </w:r>
      <w:r w:rsidR="00E0491E">
        <w:rPr>
          <w:rFonts w:ascii="Cambria Math" w:hAnsi="Cambria Math" w:cs="Cambria Math"/>
        </w:rPr>
        <w:instrText>∼</w:instrText>
      </w:r>
      <w:r w:rsidR="00E0491E">
        <w:rPr>
          <w:rFonts w:ascii="Times New Roman" w:hAnsi="Times New Roman" w:cs="Times New Roman"/>
        </w:rPr>
        <w:instrText xml:space="preserve">5 wt% to </w:instrText>
      </w:r>
      <w:r w:rsidR="00E0491E">
        <w:rPr>
          <w:rFonts w:ascii="Cambria Math" w:hAnsi="Cambria Math" w:cs="Cambria Math"/>
        </w:rPr>
        <w:instrText>∼</w:instrText>
      </w:r>
      <w:r w:rsidR="00E0491E">
        <w:rPr>
          <w:rFonts w:ascii="Times New Roman" w:hAnsi="Times New Roman" w:cs="Times New Roman"/>
        </w:rPr>
        <w:instrText xml:space="preserve">18 wt%. Since sulfide concentrations at constant fO2 and fS2 are consistently greater for more FeO-rich melts, the compositional effect on speciation may be explained by the well-known sensitivity of the sulfide capacity (CS2−) of the melt to FeO concentration. S6+/S2− ratios for the glasses exhibit a linear relationship with Fe3+/Fe2+, indicating that the redox couples for iron and sulfur can be directly related to one another. We used thermodynamic data to model the interrelationship between Fe and S oxidation states in terms of the equilibriumFeS+8FeO1.5=8FeO+FeSO4 Fitting the data to our experiments at 1300°C we obtained the following expression for the temperature-dependence of speciation:log⁡(S6+S2−)=8log⁡(Fe3+Fe2+)+8.7436×106T2−27703T+20.273 This equation fits the data for all our compositions and is also consistent with earlier results at 1050°C and 950°C. We used the interdependence of S and Fe oxidation states to infer electron transfer between Fe2+ and S6+ during quenching of glasses from Mauna Kea, Hawaii. The effect is sufficient to cause significant overestimation of equilibrium Fe3+/ΣFe in natural glasses and corresponding overestimate of fO2 by about 0.8 log units. Glasses equilibrated under the most oxidizing conditions (containing S6+ only) have equilibrium S concentrations that are negatively correlated with their mole fractions of tetrahedral (Si + Ti) cations.","author":[{"dropping-particle":"","family":"Nash","given":"William M.","non-dropping-particle":"","parse-names":false,"suffix":""},{"dropping-particle":"","family":"Smythe","given":"Duane J.","non-dropping-particle":"","parse-names":false,"suffix":""},{"dropping-particle":"","family":"Wood","given":"Bernard J.","non-dropping-particle":"","parse-names":false,"suffix":""}],"container-title":"Earth and Planetary Science Letters","id":"ITEM-2","issued":{"date-parts":[["2019","2","1"]]},"page":"187-198","publisher":"Elsevier","title":"Compositional and temperature effects on sulfur speciation and solubility in silicate melts","type":"article-journal","volume":"507"},"uris":["http://www.mendeley.com/documents/?uuid=992cf628-d31a-39e9-9a21-2733c4817579"]},{"id":"ITEM-3","itemData":{"DOI":"10.1002/9781119473206.CH6","abstract":"The properties of melts and glasses are heavily affected by redox equilibria and these are sensitive to changes in temperature, oxygen fugacity and composition. The compositional control includes the amphoteric behaviour of some components such as iron oxides and demands the understanding of the link between redox, acid-base properties and structural coordination. This goes through a precise and coherent chemical “syntax” for redox and more in general chemical exchanges in melts and magmas. This syntax applies also to the understanding of how bulk composition drives the redox evolution via melt and gas speciation from source depths up to surface. Useful shortcuts and rules of thumbs might be adopted, but we must keep in mind that redox is not a Maxwell's demon or an adjustable parameter. Rather, it is the twin-face of acid-base exchanges that occur in chemically complex mixtures and solutions. In this study we show that recognizing chemically reactive entities allows decrypting the effect of composition on redox patterns of iron and sulfur. Besides, this allows proposing a stoichiometry-based methodology to describe in detail the chemical mechanisms that drive the melt system to get rid of sulfur via decompression, degassing, and precipitation of S-bearing phases. These stoichiometric constraints allow exploring the different features of magma degassing in basaltic and andesitic systems, independently of any model of redox state proposed in the literature.","author":[{"dropping-particle":"","family":"Moretti","given":"Roberto","non-dropping-particle":"","parse-names":false,"suffix":""}],"chapter-number":"6","container-title":"Magma Redox Geochemistry, Geophysical Monograph Series","edition":"1st","editor":[{"dropping-particle":"","family":"Moretti","given":"Roberto","non-dropping-particle":"","parse-names":false,"suffix":""},{"dropping-particle":"","family":"Neuville","given":"Daniel R.","non-dropping-particle":"","parse-names":false,"suffix":""}],"id":"ITEM-3","issued":{"date-parts":[["2021","9","30"]]},"page":"115-138","publisher":"American Geophysical Union (AGU)","title":"Ionic Syntax and Equilibrium Approach to Redox Exchanges in Melts: Basic Concepts and the Case of Iron and Sulfur in Degassing Magmas","type":"chapter"},"uris":["http://www.mendeley.com/documents/?uuid=c12a953d-237c-37e8-a941-34731c9ff3db"]},{"id":"ITEM-4","itemData":{"DOI":"10.2138/rmg.2011.73.9","author":[{"dropping-particle":"","family":"Webster","given":"James D","non-dropping-particle":"","parse-names":false,"suffix":""},{"dropping-particle":"","family":"Botcharnikov","given":"Roman E.","non-dropping-particle":"","parse-names":false,"suffix":""}],"container-title":"Reviews in Mineralogy and Geochemistry","id":"ITEM-4","issued":{"date-parts":[["2011"]]},"page":"247-283","title":"Distribution of Sulfur Between Melt and Fluid in S-O-H-C-Cl-Bearing Magmatic Systems at Shallow Crustal Pressures and Temperatures","type":"article-journal","volume":"73"},"uris":["http://www.mendeley.com/documents/?uuid=69ecfa0e-ed79-3121-a9ff-39bd8c0679fa"]},{"id":"ITEM-5","itemData":{"DOI":"10.1016/J.CHEMGEO.2008.10.017","ISSN":"0009-2541","abstract":"Hydrothermal experiments were conducted with molten Mt. Somma-Vesuvius phonolite and mixed-composition fluids comprised of O-H-Cl-S-cations to determine the solubilities and melt-fluid(s) partitioning behavior of the dominant volatile components at 896-1022 °C, 200 MPa, and fO2 of NNO +0.54 to NNO + 1.6. The final melt compositions ranged from phonolitic to trachytic due to component exchange between the melt and fluid(s) and limited crystallization of plagioclase and iron-titanium oxides. The Cl concentration of the fluids was measured directly and confirmed by mass-balance calculation, and the S concentration of the fluids was determined by mass-balance computations involving a new technique based on the mass loss of CaSO4 crystals which served as the primary S source in the starting experimental charges. These experiments determine the apparent molal solubility of CaSO4 in NaCl-, KCl-, and CaCl2-enriched fluids to be:[mC a S O 4 = 71.52 (X(N a, K) C lC a S O 4 - freefluids) - 1.61] at 200 MPa and ca . 920 °C . The concentration of Cl in these melts increases with temperature and the Cl, CaO, and FeO concentrations of the system; Cl concentration decreases with increasing S in the system. The fluid(s)/melt partition coefficients for Cl, DCl, range from ca. 3-50 and vary with the Cl S, and FeO concentrations of the system and the molar (Na2O/Na2O + K2O) of the melt. The concentration of S in the melts increases with temperature, the S content of the system, the CaO content of the melt, the (S6+/Stotal)melt, and with fO2. The fluid/melt partition coefficients for S, DS, range from 2 to nearly 1100, but most range from 50-300. DS increases with increasing S in the system just as DCl increases with increasing Cl in the system, and DS increases with the Larson Index of the melt. The concentration of H2O in these melts increases significantly with increasing Cl, S, and cations in the fluids. These new partition coefficients have been integrated with the results of Raleigh fractionation modeling of Mt. Somma-Vesuvius magmas [that underwent plinian to subplinian eruptions in ca. 3550 a.B.P. (Avellino), AD 79 (Pompeii), and AD 472 (Pollena)] to compute the compositions of magmatic fluids exsolved at 200 MPa. The magmas range from phonotephritic to phonolitic compositions. The modeled Somma-Vesuvius fluids contain from 3 to ca. 50 wt.% Cl and 4-17 wt.% S with 1 to 4 wt.% fluid(s) in the evolving magmas. These concentrations vary strongly with the bulk mass of f…","author":[{"dropping-particle":"","family":"Webster","given":"J. D.","non-dropping-particle":"","parse-names":false,"suffix":""},{"dropping-particle":"","family":"Sintoni","given":"M. F.","non-dropping-particle":"","parse-names":false,"suffix":""},{"dropping-particle":"","family":"Vivo","given":"B.","non-dropping-particle":"De","parse-names":false,"suffix":""}],"container-title":"Chemical Geology","id":"ITEM-5","issue":"1-4","issued":{"date-parts":[["2009","6","15"]]},"page":"19-36","publisher":"Elsevier","title":"The partitioning behavior of Cl, S, and H2O in aqueous vapor- ± saline-liquid saturated phonolitic and trachytic melts at 200 MPa","type":"article-journal","volume":"263"},"uris":["http://www.mendeley.com/documents/?uuid=ceef4735-4152-3649-9359-3c8fe187edbb"]},{"id":"ITEM-6","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150-164","id":"ITEM-6","issued":{"date-parts":[["2022"]]},"page":"150-164","title":"SO2 solubility and degassing behavior in silicate melts","type":"article-journal","volume":"336"},"uris":["http://www.mendeley.com/documents/?uuid=7eb4d60b-d94d-440e-bd68-afce2f65efa3"]},{"id":"ITEM-7","itemData":{"DOI":"10.1002/9781119473206.ch10","abstract":"A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R.","non-dropping-particle":"","parse-names":false,"suffix":""}],"id":"ITEM-7","issued":{"date-parts":[["2021"]]},"page":"177-213","publisher":"John Wiley &amp; Sons, Inc.","title":"The thermodynamic controls on sulfide saturation in silicate melts with application to Ocean Floor Basalts.","type":"chapter"},"uris":["http://www.mendeley.com/documents/?uuid=6f3ae3ca-6ecd-3137-8bfc-f37a8f3fea2a"]},{"id":"ITEM-8","itemData":{"DOI":"10.1016/J.GCA.2022.06.020","ISSN":"0016-7037","author":[{"dropping-particle":"","family":"O'Neill","given":"Hugh St. C.","non-dropping-particle":"","parse-names":false,"suffix":""},{"dropping-particle":"","family":"Mavrogenes","given":"John A.","non-dropping-particle":"","parse-names":false,"suffix":""}],"container-title":"Geochimica et Cosmochimica Acta","id":"ITEM-8","issued":{"date-parts":[["2022","6","27"]]},"publisher":"Pergamon","title":"The sulfate capacities of silicate melts","type":"article-journal"},"uris":["http://www.mendeley.com/documents/?uuid=28383afe-41b6-312f-a795-212a394fed74"]},{"id":"ITEM-9","itemData":{"DOI":"10.1093/petrology/43.6.1049","ISSN":"00223530","abstract":"The solubility of sulfur as S2 has been experimentally determined for 19 silicate melt compositions in the system CaOMgO-Al2O3-SiO2 (CMAS) ± TiO2 ± FeO, at 1400°C and 1 bar, using CO-CO2-SO2 gas mixtures to vary oxygen fugacity (fO2) and sulfur fugacity (fS2). For all compositions, the solubility is confirmed to be proportional to (fS2/fO2)1/2, allowing the definition of the sulfide capacity (Cs) of a silicate melt as Cs = [S](fO2/fS2)1/2. Additional experiments covering over 150 melt compositions, including some with Na and K, were then used to determine Cs as a function of melt composition at 1400°C. The results were fitted to the equation CS = AO + ∑MAMXM + BFe-TiXFeXTi, where AFe </w:instrText>
      </w:r>
      <w:r w:rsidR="00E0491E">
        <w:rPr>
          <w:rFonts w:ascii="Cambria Math" w:hAnsi="Cambria Math" w:cs="Cambria Math"/>
        </w:rPr>
        <w:instrText>≫</w:instrText>
      </w:r>
      <w:r w:rsidR="00E0491E">
        <w:rPr>
          <w:rFonts w:ascii="Times New Roman" w:hAnsi="Times New Roman" w:cs="Times New Roman"/>
        </w:rPr>
        <w:instrText xml:space="preserve"> ACa &gt; AMg,ANa/K,ATi. The FeO content of natural basalts is the dominant control on CS. The equation for CS was then combined with the equation for the thermodynamic equilibrium between silicate melt and immiscible FeS-rich sulfide melt, to develop an expression for the sulfur content at sulfide saturation (SCSS) of the silicate melt. The value of SCSS is independent of fO2 and fS2, but shows an asymmetric U-shaped dependence on the FeO content of the silicate melt. Many of the experiments on Fe-containing melt compositions were saturated with immiscible FeS melt, and these experiments were used to calibrate quantitatively SCSS at 1400°C as a function of melt composition.","author":[{"dropping-particle":"","family":"O'Neill","given":"Hugh St. C.","non-dropping-particle":"","parse-names":false,"suffix":""},{"dropping-particle":"","family":"Mavrogenes","given":"John A.","non-dropping-particle":"","parse-names":false,"suffix":""}],"container-title":"Journal of Petrology","id":"ITEM-9","issue":"6","issued":{"date-parts":[["2002","6","1"]]},"page":"1049-1087","publisher":"Oxford Academic","title":"The sulfide capacity and the sulfur content at sulfide saturation of silicate melts at 1400°C and 1 bar","type":"article-journal","volume":"43"},"uris":["http://www.mendeley.com/documents/?uuid=fa1be182-e32a-3e7a-9548-d65b2dec32f2"]}],"mendeley":{"formattedCitation":"(Boulliung and Wood, 2022; Moretti, 2021; Moretti and Ottonello, 2005; Nash et al., 2019; O’Neill, 2021; O’Neill and Mavrogenes, 2022, 2002; Webster et al., 2009; Webster and Botcharnikov, 2011)","manualFormatting":"(e.g., Boulliung and Wood, 2022; Moretti, 2021; Moretti and Ottonello, 2005; Nash et al., 2019; O’Neill, 2021; O’Neill and Mavrogenes, 2022, 2002; Webster et al., 2009; Webster and Botcharnikov, 2011)","plainTextFormattedCitation":"(Boulliung and Wood, 2022; Moretti, 2021; Moretti and Ottonello, 2005; Nash et al., 2019; O’Neill, 2021; O’Neill and Mavrogenes, 2022, 2002; Webster et al., 2009; Webster and Botcharnikov, 2011)","previouslyFormattedCitation":"(Boulliung and Wood, 2022; Moretti, 2021; Moretti and Ottonello, 2005; Nash et al., 2019; O’Neill, 2021; O’Neill and Mavrogenes, 2022, 2002; Webster et al., 2009; Webster and Botcharnikov, 2011)"},"properties":{"noteIndex":0},"schema":"https://github.com/citation-style-language/schema/raw/master/csl-citation.json"}</w:instrText>
      </w:r>
      <w:r w:rsidRPr="00CC0D73">
        <w:rPr>
          <w:rFonts w:ascii="Times New Roman" w:hAnsi="Times New Roman" w:cs="Times New Roman"/>
        </w:rPr>
        <w:fldChar w:fldCharType="separate"/>
      </w:r>
      <w:r w:rsidR="00150BDA" w:rsidRPr="00150BDA">
        <w:rPr>
          <w:rFonts w:ascii="Times New Roman" w:hAnsi="Times New Roman" w:cs="Times New Roman"/>
          <w:noProof/>
        </w:rPr>
        <w:t>(</w:t>
      </w:r>
      <w:r w:rsidR="00150BDA">
        <w:rPr>
          <w:rFonts w:ascii="Times New Roman" w:hAnsi="Times New Roman" w:cs="Times New Roman"/>
          <w:noProof/>
        </w:rPr>
        <w:t xml:space="preserve">e.g., </w:t>
      </w:r>
      <w:r w:rsidR="00150BDA" w:rsidRPr="00150BDA">
        <w:rPr>
          <w:rFonts w:ascii="Times New Roman" w:hAnsi="Times New Roman" w:cs="Times New Roman"/>
          <w:noProof/>
        </w:rPr>
        <w:t>Boulliung and Wood, 2022; Moretti, 2021; Moretti and Ottonello, 2005; Nash et al., 2019; O’Neill, 2021; O’Neill and Mavrogenes, 2022, 2002; Webster et al., 2009; Webster and Botcharnikov, 2011)</w:t>
      </w:r>
      <w:r w:rsidRPr="00CC0D73">
        <w:rPr>
          <w:rFonts w:ascii="Times New Roman" w:hAnsi="Times New Roman" w:cs="Times New Roman"/>
        </w:rPr>
        <w:fldChar w:fldCharType="end"/>
      </w:r>
      <w:r>
        <w:rPr>
          <w:rFonts w:ascii="Times New Roman" w:hAnsi="Times New Roman" w:cs="Times New Roman"/>
        </w:rPr>
        <w:t xml:space="preserve">. </w:t>
      </w:r>
      <w:r w:rsidR="001E4E2F" w:rsidRPr="00B1743B">
        <w:rPr>
          <w:rFonts w:ascii="Times New Roman" w:hAnsi="Times New Roman" w:cs="Times New Roman"/>
        </w:rPr>
        <w:t>T</w:t>
      </w:r>
      <w:r w:rsidR="001054A1" w:rsidRPr="00B1743B">
        <w:rPr>
          <w:rFonts w:ascii="Times New Roman" w:hAnsi="Times New Roman" w:cs="Times New Roman"/>
        </w:rPr>
        <w:t>he</w:t>
      </w:r>
      <w:r w:rsidR="001E4E2F" w:rsidRPr="001C4A06">
        <w:rPr>
          <w:rFonts w:ascii="Times New Roman" w:hAnsi="Times New Roman" w:cs="Times New Roman"/>
        </w:rPr>
        <w:t xml:space="preserve"> dependence of </w:t>
      </w:r>
      <w:proofErr w:type="spellStart"/>
      <w:r w:rsidR="001E4E2F" w:rsidRPr="001C4A06">
        <w:rPr>
          <w:rFonts w:ascii="Times New Roman" w:hAnsi="Times New Roman" w:cs="Times New Roman"/>
        </w:rPr>
        <w:t>sulfide</w:t>
      </w:r>
      <w:proofErr w:type="spellEnd"/>
      <w:r w:rsidR="001E4E2F" w:rsidRPr="001C4A06">
        <w:rPr>
          <w:rFonts w:ascii="Times New Roman" w:hAnsi="Times New Roman" w:cs="Times New Roman"/>
        </w:rPr>
        <w:t xml:space="preserve"> and </w:t>
      </w:r>
      <w:proofErr w:type="spellStart"/>
      <w:r w:rsidR="001E4E2F" w:rsidRPr="001C4A06">
        <w:rPr>
          <w:rFonts w:ascii="Times New Roman" w:hAnsi="Times New Roman" w:cs="Times New Roman"/>
        </w:rPr>
        <w:t>sulfate</w:t>
      </w:r>
      <w:proofErr w:type="spellEnd"/>
      <w:r w:rsidR="001E4E2F" w:rsidRPr="001C4A06">
        <w:rPr>
          <w:rFonts w:ascii="Times New Roman" w:hAnsi="Times New Roman" w:cs="Times New Roman"/>
        </w:rPr>
        <w:t xml:space="preserve"> solubility on</w:t>
      </w:r>
      <w:r w:rsidR="001054A1" w:rsidRPr="001C4A06">
        <w:rPr>
          <w:rFonts w:ascii="Times New Roman" w:hAnsi="Times New Roman" w:cs="Times New Roman"/>
        </w:rPr>
        <w:t xml:space="preserve"> silicate melt composition can be described using the concepts of </w:t>
      </w:r>
      <w:proofErr w:type="spellStart"/>
      <w:r w:rsidR="001054A1" w:rsidRPr="001C4A06">
        <w:rPr>
          <w:rFonts w:ascii="Times New Roman" w:hAnsi="Times New Roman" w:cs="Times New Roman"/>
        </w:rPr>
        <w:t>sul</w:t>
      </w:r>
      <w:r w:rsidR="00150BDA">
        <w:rPr>
          <w:rFonts w:ascii="Times New Roman" w:hAnsi="Times New Roman" w:cs="Times New Roman"/>
        </w:rPr>
        <w:t>f</w:t>
      </w:r>
      <w:r w:rsidR="001054A1" w:rsidRPr="001C4A06">
        <w:rPr>
          <w:rFonts w:ascii="Times New Roman" w:hAnsi="Times New Roman" w:cs="Times New Roman"/>
        </w:rPr>
        <w:t>ide</w:t>
      </w:r>
      <w:proofErr w:type="spellEnd"/>
      <w:r w:rsidR="001054A1" w:rsidRPr="001C4A06">
        <w:rPr>
          <w:rFonts w:ascii="Times New Roman" w:hAnsi="Times New Roman" w:cs="Times New Roman"/>
        </w:rPr>
        <w:t xml:space="preserve"> and </w:t>
      </w:r>
      <w:proofErr w:type="spellStart"/>
      <w:r w:rsidR="001054A1" w:rsidRPr="001C4A06">
        <w:rPr>
          <w:rFonts w:ascii="Times New Roman" w:hAnsi="Times New Roman" w:cs="Times New Roman"/>
        </w:rPr>
        <w:t>sulfate</w:t>
      </w:r>
      <w:proofErr w:type="spellEnd"/>
      <w:r w:rsidR="001054A1" w:rsidRPr="001C4A06">
        <w:rPr>
          <w:rFonts w:ascii="Times New Roman" w:hAnsi="Times New Roman" w:cs="Times New Roman"/>
        </w:rPr>
        <w:t xml:space="preserve"> capacity</w:t>
      </w:r>
      <w:r w:rsidR="000F0BD4">
        <w:rPr>
          <w:rFonts w:ascii="Times New Roman" w:hAnsi="Times New Roman" w:cs="Times New Roman"/>
        </w:rPr>
        <w:t xml:space="preserve"> </w:t>
      </w:r>
      <w:r w:rsidR="000F0BD4">
        <w:rPr>
          <w:rFonts w:ascii="Times New Roman" w:hAnsi="Times New Roman" w:cs="Times New Roman"/>
        </w:rPr>
        <w:fldChar w:fldCharType="begin" w:fldLock="1"/>
      </w:r>
      <w:r w:rsidR="003C2B11">
        <w:rPr>
          <w:rFonts w:ascii="Times New Roman" w:hAnsi="Times New Roman" w:cs="Times New Roman"/>
        </w:rPr>
        <w:instrText xml:space="preserve">ADDIN CSL_CITATION {"citationItems":[{"id":"ITEM-1","itemData":{"DOI":"10.1098/rspa.1954.0099","abstract":"As part of a general programme of research on the nature of inorganic melts, a study has been made of the manner in which sulphur is held in liquid silicates and aluminates. Mixtures of CaO-SiO2, MgO-SiO2, FeO-SiO2, CaO-Al2O3 and CaO-SiO2-Al2O3 have been brought into equilibrium, at temperatures between 1350 and 1650°C, with gas phases made by mixing H2, CO2 and SO2 at room temperature. It has been shown that, when pO2 is less than about 10–5 atm, a sulphur atom can only enter the melt by displacing a suitable oxygen atom. The sulphur is then held in the slag entirely as sulphide, its concentration being controlled by the general equilibrium, ½S2 + (O)melt = ½O2 + (S)melt. When pO2 is greater than about 10-3 atm, the sulphur is held as sulphate and the corresponding equilibrium is ½S2 + 3/2O2 + (O)melt = (SO4)melt∙ In the binary silicate melts there must be three kinds of oxygen atoms present: those bonded to two silicon atoms, those bonded to one silicon and those unattached to silicon. Their proportions are presumably connected by an equilibrium of the type O2– + </w:instrText>
      </w:r>
      <w:r w:rsidR="003C2B11">
        <w:rPr>
          <w:rFonts w:ascii="Cambria Math" w:hAnsi="Cambria Math" w:cs="Cambria Math"/>
        </w:rPr>
        <w:instrText>⋮</w:instrText>
      </w:r>
      <w:r w:rsidR="003C2B11">
        <w:rPr>
          <w:rFonts w:ascii="Times New Roman" w:hAnsi="Times New Roman" w:cs="Times New Roman"/>
        </w:rPr>
        <w:instrText xml:space="preserve"> Si-O-Si </w:instrText>
      </w:r>
      <w:r w:rsidR="003C2B11">
        <w:rPr>
          <w:rFonts w:ascii="Cambria Math" w:hAnsi="Cambria Math" w:cs="Cambria Math"/>
        </w:rPr>
        <w:instrText>⋮</w:instrText>
      </w:r>
      <w:r w:rsidR="003C2B11">
        <w:rPr>
          <w:rFonts w:ascii="Times New Roman" w:hAnsi="Times New Roman" w:cs="Times New Roman"/>
        </w:rPr>
        <w:instrText xml:space="preserve"> = 2(</w:instrText>
      </w:r>
      <w:r w:rsidR="003C2B11">
        <w:rPr>
          <w:rFonts w:ascii="Cambria Math" w:hAnsi="Cambria Math" w:cs="Cambria Math"/>
        </w:rPr>
        <w:instrText>⋮</w:instrText>
      </w:r>
      <w:r w:rsidR="003C2B11">
        <w:rPr>
          <w:rFonts w:ascii="Times New Roman" w:hAnsi="Times New Roman" w:cs="Times New Roman"/>
        </w:rPr>
        <w:instrText xml:space="preserve"> Si-O¯). From the manner in which both the sulphide and sulphate equilibria depend upon the proportions of metal oxide present, it appears that only the oxygen atoms which are unattached to silicon are of importance so far as these equilibria are concerned. The potential capacity of a melt to hold sulphur as sulphide is expressed as its sulphide capacity Cs = (wt. % S) (pO2)½/(ps2)½. For binary silicate and aluminate melts there is a close parallelism between the value of this capacity and the activity of the basic metal oxide. The activity coefficients for CaS have been found to be the same as for CaSO4 and approximately constant in CaO-SiO2 mixtures. The sulphide equilibrium results have been used to improve the free energy of formation curve for the formation of CaO-SiO2 melts, and to construct a similar curve for CaO-Al2O3 melts. The temperature coefficient of the sulphide capacity for CaO-SiO2 melts has been combined with other data and used to extend the heat of formation curve for CaO-SiO2 melts. The sulphur capacities, and presumably the lime activities, of the ternary melts CaO-SiO2 -Al2O3, have been shown to be a maximum at compositions for which the molar proportions of SiO2 and Al2O3are equal; this behaviour would be expected because the energy of interaction of SiO2 and Al2O3 is much greater than that of either CaO and SiO2 or CaO and Al2O3. It follows the patter…","author":[{"dropping-particle":"","family":"Fincham","given":"C. J. B.","non-dropping-particle":"","parse-names":false,"suffix":""},{"dropping-particle":"","family":"Richardson","given":"Frederick Denys","non-dropping-particle":"","parse-names":false,"suffix":""}],"container-title":"Proceedings of the Royal Society of London. Series A. Mathematical and Physical Sciences","id":"ITEM-1","issue":"1152","issued":{"date-parts":[["1954","4","7"]]},"page":"40-62","title":"The behaviour of sulphur in silicate and aluminate melts","type":"article-journal","volume":"223"},"uris":["http://www.mendeley.com/documents/?uuid=96cd2846-d4eb-3263-96b4-77a2c5011472"]},{"id":"ITEM-2","itemData":{"DOI":"10.1007/BF02913825","ISSN":"1543-1916","abstract":"This paper is concerned with a critical examination of the concept “basicity of a slag” and the possibility of defining a quantitative measure of basicity in order to correlate equilibrium data for various reactions involving O2− ions as reactants,e.g. S (alloy)+O2− (slag)=O (alloy)+S2− (slag), or O2− (slag)+1/2S2 (gas)=S2− (slag)+1/2 O2 (g).","author":[{"dropping-particle":"","family":"Wagner","given":"Carl","non-dropping-particle":"","parse-names":false,"suffix":""}],"container-title":"Metallurgical Transactions B 1975 6:3","id":"ITEM-2","issue":"3","issued":{"date-parts":[["1975","9"]]},"page":"405-409","publisher":"Springer","title":"The concept of the basicity of slags","type":"article-journal","volume":"6"},"uris":["http://www.mendeley.com/documents/?uuid=8cd0ed5d-aa4b-3d69-8f2e-0fd5f231e941"]},{"id":"ITEM-3","itemData":{"DOI":"10.1093/petrology/43.6.1049","ISSN":"00223530","abstract":"The solubility of sulfur as S2 has been experimentally determined for 19 silicate melt compositions in the system CaOMgO-Al2O3-SiO2 (CMAS) ± TiO2 ± FeO, at 1400°C and 1 bar, using CO-CO2-SO2 gas mixtures to vary oxygen fugacity (fO2) and sulfur fugacity (fS2). For all compositions, the solubility is confirmed to be proportional to (fS2/fO2)1/2, allowing the definition of the sulfide capacity (Cs) of a silicate melt as Cs = [S](fO2/fS2)1/2. Additional experiments covering over 150 melt compositions, including some with Na and K, were then used to determine Cs as a function of melt composition at 1400°C. The results were fitted to the equation CS = AO + ∑MAMXM + BFe-TiXFeXTi, where AFe </w:instrText>
      </w:r>
      <w:r w:rsidR="003C2B11">
        <w:rPr>
          <w:rFonts w:ascii="Cambria Math" w:hAnsi="Cambria Math" w:cs="Cambria Math"/>
        </w:rPr>
        <w:instrText>≫</w:instrText>
      </w:r>
      <w:r w:rsidR="003C2B11">
        <w:rPr>
          <w:rFonts w:ascii="Times New Roman" w:hAnsi="Times New Roman" w:cs="Times New Roman"/>
        </w:rPr>
        <w:instrText xml:space="preserve"> ACa &gt; AMg,ANa/K,ATi. The FeO content of natural basalts is the dominant control on CS. The equation for CS was then combined with the equation for the thermodynamic equilibrium between silicate melt and immiscible FeS-rich sulfide melt, to develop an expression for the sulfur content at sulfide saturation (SCSS) of the silicate melt. The value of SCSS is independent of fO2 and fS2, but shows an asymmetric U-shaped dependence on the FeO content of the silicate melt. Many of the experiments on Fe-containing melt compositions were saturated with immiscible FeS melt, and these experiments were used to calibrate quantitatively SCSS at 1400°C as a function of melt composition.","author":[{"dropping-particle":"","family":"O'Neill","given":"Hugh St. C.","non-dropping-particle":"","parse-names":false,"suffix":""},{"dropping-particle":"","family":"Mavrogenes","given":"John A.","non-dropping-particle":"","parse-names":false,"suffix":""}],"container-title":"Journal of Petrology","id":"ITEM-3","issue":"6","issued":{"date-parts":[["2002","6","1"]]},"page":"1049-1087","publisher":"Oxford Academic","title":"The sulfide capacity and the sulfur content at sulfide saturation of silicate melts at 1400°C and 1 bar","type":"article-journal","volume":"43"},"uris":["http://www.mendeley.com/documents/?uuid=fa1be182-e32a-3e7a-9548-d65b2dec32f2"]},{"id":"ITEM-4","itemData":{"DOI":"10.1002/9781119473206.ch10","abstract":"A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R.","non-dropping-particle":"","parse-names":false,"suffix":""}],"id":"ITEM-4","issued":{"date-parts":[["2021"]]},"page":"177-213","publisher":"John Wiley &amp; Sons, Inc.","title":"The thermodynamic controls on sulfide saturation in silicate melts with application to Ocean Floor Basalts.","type":"chapter"},"uris":["http://www.mendeley.com/documents/?uuid=6f3ae3ca-6ecd-3137-8bfc-f37a8f3fea2a"]},{"id":"ITEM-5","itemData":{"DOI":"10.1016/J.GCA.2022.06.020","ISSN":"0016-7037","author":[{"dropping-particle":"","family":"O'Neill","given":"Hugh St. C.","non-dropping-particle":"","parse-names":false,"suffix":""},{"dropping-particle":"","family":"Mavrogenes","given":"John A.","non-dropping-particle":"","parse-names":false,"suffix":""}],"container-title":"Geochimica et Cosmochimica Acta","id":"ITEM-5","issued":{"date-parts":[["2022","6","27"]]},"publisher":"Pergamon","title":"The sulfate capacities of silicate melts","type":"article-journal"},"uris":["http://www.mendeley.com/documents/?uuid=28383afe-41b6-312f-a795-212a394fed74"]}],"mendeley":{"formattedCitation":"(Fincham and Richardson, 1954; O’Neill, 2021; O’Neill and Mavrogenes, 2022, 2002; Wagner, 1975)","manualFormatting":"(e.g., Fincham and Richardson, 1954; O’Neill, 2021; O’Neill and Mavrogenes, 2022, 2002; Wagner, 1975)","plainTextFormattedCitation":"(Fincham and Richardson, 1954; O’Neill, 2021; O’Neill and Mavrogenes, 2022, 2002; Wagner, 1975)","previouslyFormattedCitation":"(Fincham and Richardson, 1954; O’Neill, 2021; O’Neill and Mavrogenes, 2022, 2002; Wagner, 1975)"},"properties":{"noteIndex":0},"schema":"https://github.com/citation-style-language/schema/raw/master/csl-citation.json"}</w:instrText>
      </w:r>
      <w:r w:rsidR="000F0BD4">
        <w:rPr>
          <w:rFonts w:ascii="Times New Roman" w:hAnsi="Times New Roman" w:cs="Times New Roman"/>
        </w:rPr>
        <w:fldChar w:fldCharType="separate"/>
      </w:r>
      <w:r w:rsidR="00150BDA" w:rsidRPr="00150BDA">
        <w:rPr>
          <w:rFonts w:ascii="Times New Roman" w:hAnsi="Times New Roman" w:cs="Times New Roman"/>
          <w:noProof/>
        </w:rPr>
        <w:t>(</w:t>
      </w:r>
      <w:r w:rsidR="00150BDA">
        <w:rPr>
          <w:rFonts w:ascii="Times New Roman" w:hAnsi="Times New Roman" w:cs="Times New Roman"/>
          <w:noProof/>
        </w:rPr>
        <w:t xml:space="preserve">e.g., </w:t>
      </w:r>
      <w:r w:rsidR="00150BDA" w:rsidRPr="00150BDA">
        <w:rPr>
          <w:rFonts w:ascii="Times New Roman" w:hAnsi="Times New Roman" w:cs="Times New Roman"/>
          <w:noProof/>
        </w:rPr>
        <w:t xml:space="preserve">Fincham and Richardson, 1954; </w:t>
      </w:r>
      <w:r w:rsidR="00150BDA" w:rsidRPr="00150BDA">
        <w:rPr>
          <w:rFonts w:ascii="Times New Roman" w:hAnsi="Times New Roman" w:cs="Times New Roman"/>
          <w:noProof/>
        </w:rPr>
        <w:lastRenderedPageBreak/>
        <w:t>O’Neill, 2021; O’Neill and Mavrogenes, 2022, 2002; Wagner, 1975)</w:t>
      </w:r>
      <w:r w:rsidR="000F0BD4">
        <w:rPr>
          <w:rFonts w:ascii="Times New Roman" w:hAnsi="Times New Roman" w:cs="Times New Roman"/>
        </w:rPr>
        <w:fldChar w:fldCharType="end"/>
      </w:r>
      <w:r w:rsidR="001054A1" w:rsidRPr="001C4A06">
        <w:rPr>
          <w:rFonts w:ascii="Times New Roman" w:hAnsi="Times New Roman" w:cs="Times New Roman"/>
        </w:rPr>
        <w:t>. For simplicity in the above description, we assumed there was only one type of O</w:t>
      </w:r>
      <w:r w:rsidR="001054A1" w:rsidRPr="001C4A06">
        <w:rPr>
          <w:rFonts w:ascii="Times New Roman" w:hAnsi="Times New Roman" w:cs="Times New Roman"/>
          <w:vertAlign w:val="superscript"/>
        </w:rPr>
        <w:t>2-</w:t>
      </w:r>
      <w:r w:rsidR="001054A1" w:rsidRPr="001C4A06">
        <w:rPr>
          <w:rFonts w:ascii="Times New Roman" w:hAnsi="Times New Roman" w:cs="Times New Roman"/>
        </w:rPr>
        <w:t xml:space="preserve"> in the silicate melt</w:t>
      </w:r>
      <w:r w:rsidR="001E4E2F" w:rsidRPr="001C4A06">
        <w:rPr>
          <w:rFonts w:ascii="Times New Roman" w:hAnsi="Times New Roman" w:cs="Times New Roman"/>
        </w:rPr>
        <w:t>,</w:t>
      </w:r>
      <w:r w:rsidR="001054A1" w:rsidRPr="001C4A06">
        <w:rPr>
          <w:rFonts w:ascii="Times New Roman" w:hAnsi="Times New Roman" w:cs="Times New Roman"/>
        </w:rPr>
        <w:t xml:space="preserve"> </w:t>
      </w:r>
      <w:r w:rsidR="001E4E2F" w:rsidRPr="001C4A06">
        <w:rPr>
          <w:rFonts w:ascii="Times New Roman" w:hAnsi="Times New Roman" w:cs="Times New Roman"/>
        </w:rPr>
        <w:t>which</w:t>
      </w:r>
      <w:r w:rsidR="001054A1" w:rsidRPr="001C4A06">
        <w:rPr>
          <w:rFonts w:ascii="Times New Roman" w:hAnsi="Times New Roman" w:cs="Times New Roman"/>
        </w:rPr>
        <w:t xml:space="preserve"> is not generally a valid assumption or approximation. Instead, we can write a reaction such as equation (</w:t>
      </w:r>
      <w:r w:rsidR="00150BDA">
        <w:rPr>
          <w:rFonts w:ascii="Times New Roman" w:hAnsi="Times New Roman" w:cs="Times New Roman"/>
        </w:rPr>
        <w:t>S</w:t>
      </w:r>
      <w:r w:rsidR="001C4A06" w:rsidRPr="001C4A06">
        <w:rPr>
          <w:rFonts w:ascii="Times New Roman" w:hAnsi="Times New Roman" w:cs="Times New Roman"/>
          <w:color w:val="000000" w:themeColor="text1"/>
        </w:rPr>
        <w:t>22</w:t>
      </w:r>
      <w:r w:rsidR="001054A1" w:rsidRPr="001C4A06">
        <w:rPr>
          <w:rFonts w:ascii="Times New Roman" w:hAnsi="Times New Roman" w:cs="Times New Roman"/>
        </w:rPr>
        <w:t xml:space="preserve">) for each the different oxide components in the melt (e.g., </w:t>
      </w:r>
      <w:proofErr w:type="spellStart"/>
      <w:r w:rsidR="001054A1" w:rsidRPr="001C4A06">
        <w:rPr>
          <w:rFonts w:ascii="Times New Roman" w:hAnsi="Times New Roman" w:cs="Times New Roman"/>
        </w:rPr>
        <w:t>FeO</w:t>
      </w:r>
      <w:proofErr w:type="spellEnd"/>
      <w:r w:rsidR="001054A1" w:rsidRPr="001C4A06">
        <w:rPr>
          <w:rFonts w:ascii="Times New Roman" w:hAnsi="Times New Roman" w:cs="Times New Roman"/>
        </w:rPr>
        <w:t xml:space="preserve">, </w:t>
      </w:r>
      <w:proofErr w:type="spellStart"/>
      <w:r w:rsidR="001054A1" w:rsidRPr="001C4A06">
        <w:rPr>
          <w:rFonts w:ascii="Times New Roman" w:hAnsi="Times New Roman" w:cs="Times New Roman"/>
        </w:rPr>
        <w:t>CaO</w:t>
      </w:r>
      <w:proofErr w:type="spellEnd"/>
      <w:r w:rsidR="001054A1" w:rsidRPr="001C4A06">
        <w:rPr>
          <w:rFonts w:ascii="Times New Roman" w:hAnsi="Times New Roman" w:cs="Times New Roman"/>
        </w:rPr>
        <w:t xml:space="preserve">, etc.). For example, </w:t>
      </w:r>
      <w:r w:rsidR="001C4A06" w:rsidRPr="001C4A06">
        <w:rPr>
          <w:rFonts w:ascii="Times New Roman" w:hAnsi="Times New Roman" w:cs="Times New Roman"/>
        </w:rPr>
        <w:t xml:space="preserve">for </w:t>
      </w:r>
      <w:proofErr w:type="spellStart"/>
      <w:r w:rsidR="001054A1" w:rsidRPr="001C4A06">
        <w:rPr>
          <w:rFonts w:ascii="Times New Roman" w:hAnsi="Times New Roman" w:cs="Times New Roman"/>
        </w:rPr>
        <w:t>Fe</w:t>
      </w:r>
      <w:r w:rsidR="001C4A06" w:rsidRPr="001C4A06">
        <w:rPr>
          <w:rFonts w:ascii="Times New Roman" w:hAnsi="Times New Roman" w:cs="Times New Roman"/>
        </w:rPr>
        <w:t>S</w:t>
      </w:r>
      <w:proofErr w:type="spellEnd"/>
      <w:r w:rsidR="001C4A06" w:rsidRPr="001C4A06">
        <w:rPr>
          <w:rFonts w:ascii="Times New Roman" w:hAnsi="Times New Roman" w:cs="Times New Roman"/>
        </w:rPr>
        <w:t xml:space="preserve"> with its associated equilibrium constant:</w:t>
      </w:r>
    </w:p>
    <w:p w14:paraId="76B19B8C" w14:textId="078F4BE0"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r>
                <m:rPr>
                  <m:sty m:val="p"/>
                </m:rPr>
                <w:rPr>
                  <w:rFonts w:ascii="Cambria Math" w:hAnsi="Cambria Math"/>
                </w:rPr>
                <m:t>FeO</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=FeS</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r>
                <w:rPr>
                  <w:rFonts w:ascii="Cambria Math" w:hAnsi="Cambria Math"/>
                </w:rPr>
                <m:t xml:space="preserve"> #</m:t>
              </m:r>
              <m:d>
                <m:dPr>
                  <m:ctrlPr>
                    <w:rPr>
                      <w:rFonts w:ascii="Cambria Math" w:hAnsi="Cambria Math"/>
                      <w:i/>
                    </w:rPr>
                  </m:ctrlPr>
                </m:dPr>
                <m:e>
                  <m:r>
                    <m:rPr>
                      <m:sty m:val="p"/>
                    </m:rPr>
                    <w:rPr>
                      <w:rFonts w:ascii="Cambria Math" w:hAnsi="Cambria Math"/>
                    </w:rPr>
                    <m:t>S39</m:t>
                  </m:r>
                  <m:ctrlPr>
                    <w:rPr>
                      <w:rFonts w:ascii="Cambria Math" w:hAnsi="Cambria Math"/>
                    </w:rPr>
                  </m:ctrlPr>
                </m:e>
              </m:d>
            </m:e>
          </m:eqArr>
        </m:oMath>
      </m:oMathPara>
    </w:p>
    <w:p w14:paraId="789C2D58" w14:textId="1F5E7DDC"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r>
                    <m:rPr>
                      <m:sty m:val="p"/>
                    </m:rPr>
                    <w:rPr>
                      <w:rFonts w:ascii="Cambria Math" w:hAnsi="Cambria Math"/>
                    </w:rPr>
                    <m:t>FeS</m:t>
                  </m:r>
                </m:sub>
              </m:sSub>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a</m:t>
                      </m:r>
                    </m:e>
                    <m:sub>
                      <m:r>
                        <m:rPr>
                          <m:sty m:val="p"/>
                        </m:rPr>
                        <w:rPr>
                          <w:rFonts w:ascii="Cambria Math" w:hAnsi="Cambria Math"/>
                        </w:rPr>
                        <m:t>FeS</m:t>
                      </m:r>
                    </m:sub>
                    <m:sup>
                      <m:r>
                        <w:rPr>
                          <w:rFonts w:ascii="Cambria Math" w:hAnsi="Cambria Math"/>
                        </w:rPr>
                        <m:t>m</m:t>
                      </m:r>
                    </m:sup>
                  </m:sSubSup>
                </m:num>
                <m:den>
                  <m:sSubSup>
                    <m:sSubSupPr>
                      <m:ctrlPr>
                        <w:rPr>
                          <w:rFonts w:ascii="Cambria Math" w:hAnsi="Cambria Math"/>
                        </w:rPr>
                      </m:ctrlPr>
                    </m:sSubSupPr>
                    <m:e>
                      <m:r>
                        <w:rPr>
                          <w:rFonts w:ascii="Cambria Math" w:hAnsi="Cambria Math"/>
                        </w:rPr>
                        <m:t>a</m:t>
                      </m:r>
                    </m:e>
                    <m:sub>
                      <m:r>
                        <m:rPr>
                          <m:sty m:val="p"/>
                        </m:rPr>
                        <w:rPr>
                          <w:rFonts w:ascii="Cambria Math" w:hAnsi="Cambria Math"/>
                        </w:rPr>
                        <m:t>FeO</m:t>
                      </m:r>
                    </m:sub>
                    <m:sup>
                      <m:r>
                        <w:rPr>
                          <w:rFonts w:ascii="Cambria Math" w:hAnsi="Cambria Math"/>
                        </w:rPr>
                        <m:t>m</m:t>
                      </m:r>
                    </m:sup>
                  </m:sSubSup>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γ</m:t>
                      </m:r>
                    </m:e>
                    <m:sub>
                      <m:r>
                        <m:rPr>
                          <m:sty m:val="p"/>
                        </m:rPr>
                        <w:rPr>
                          <w:rFonts w:ascii="Cambria Math" w:hAnsi="Cambria Math"/>
                        </w:rPr>
                        <m:t>FeS</m:t>
                      </m:r>
                    </m:sub>
                    <m:sup>
                      <m:r>
                        <w:rPr>
                          <w:rFonts w:ascii="Cambria Math" w:hAnsi="Cambria Math"/>
                        </w:rPr>
                        <m:t>m</m:t>
                      </m:r>
                    </m:sup>
                  </m:sSubSup>
                  <m:sSubSup>
                    <m:sSubSupPr>
                      <m:ctrlPr>
                        <w:rPr>
                          <w:rFonts w:ascii="Cambria Math" w:hAnsi="Cambria Math"/>
                        </w:rPr>
                      </m:ctrlPr>
                    </m:sSubSupPr>
                    <m:e>
                      <m:r>
                        <w:rPr>
                          <w:rFonts w:ascii="Cambria Math" w:hAnsi="Cambria Math"/>
                        </w:rPr>
                        <m:t>x</m:t>
                      </m:r>
                    </m:e>
                    <m:sub>
                      <m:r>
                        <m:rPr>
                          <m:sty m:val="p"/>
                        </m:rPr>
                        <w:rPr>
                          <w:rFonts w:ascii="Cambria Math" w:hAnsi="Cambria Math"/>
                        </w:rPr>
                        <m:t>FeS</m:t>
                      </m:r>
                    </m:sub>
                    <m:sup>
                      <m:r>
                        <w:rPr>
                          <w:rFonts w:ascii="Cambria Math" w:hAnsi="Cambria Math"/>
                        </w:rPr>
                        <m:t>m</m:t>
                      </m:r>
                    </m:sup>
                  </m:sSubSup>
                </m:num>
                <m:den>
                  <m:sSubSup>
                    <m:sSubSupPr>
                      <m:ctrlPr>
                        <w:rPr>
                          <w:rFonts w:ascii="Cambria Math" w:hAnsi="Cambria Math"/>
                        </w:rPr>
                      </m:ctrlPr>
                    </m:sSubSupPr>
                    <m:e>
                      <m:r>
                        <w:rPr>
                          <w:rFonts w:ascii="Cambria Math" w:hAnsi="Cambria Math"/>
                        </w:rPr>
                        <m:t>γ</m:t>
                      </m:r>
                    </m:e>
                    <m:sub>
                      <m:r>
                        <m:rPr>
                          <m:sty m:val="p"/>
                        </m:rPr>
                        <w:rPr>
                          <w:rFonts w:ascii="Cambria Math" w:hAnsi="Cambria Math"/>
                        </w:rPr>
                        <m:t>FeO</m:t>
                      </m:r>
                    </m:sub>
                    <m:sup>
                      <m:r>
                        <w:rPr>
                          <w:rFonts w:ascii="Cambria Math" w:hAnsi="Cambria Math"/>
                        </w:rPr>
                        <m:t>m</m:t>
                      </m:r>
                    </m:sup>
                  </m:sSubSup>
                  <m:sSubSup>
                    <m:sSubSupPr>
                      <m:ctrlPr>
                        <w:rPr>
                          <w:rFonts w:ascii="Cambria Math" w:hAnsi="Cambria Math"/>
                        </w:rPr>
                      </m:ctrlPr>
                    </m:sSubSupPr>
                    <m:e>
                      <m:r>
                        <w:rPr>
                          <w:rFonts w:ascii="Cambria Math" w:hAnsi="Cambria Math"/>
                        </w:rPr>
                        <m:t>x</m:t>
                      </m:r>
                    </m:e>
                    <m:sub>
                      <m:r>
                        <m:rPr>
                          <m:sty m:val="p"/>
                        </m:rPr>
                        <w:rPr>
                          <w:rFonts w:ascii="Cambria Math" w:hAnsi="Cambria Math"/>
                        </w:rPr>
                        <m:t>FeO</m:t>
                      </m:r>
                    </m:sub>
                    <m:sup>
                      <m:r>
                        <w:rPr>
                          <w:rFonts w:ascii="Cambria Math" w:hAnsi="Cambria Math"/>
                        </w:rPr>
                        <m:t>m</m:t>
                      </m:r>
                    </m:sup>
                  </m:sSubSup>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w:rPr>
                  <w:rFonts w:ascii="Cambria Math" w:hAnsi="Cambria Math"/>
                </w:rPr>
                <m:t>. #</m:t>
              </m:r>
              <m:d>
                <m:dPr>
                  <m:ctrlPr>
                    <w:rPr>
                      <w:rFonts w:ascii="Cambria Math" w:hAnsi="Cambria Math"/>
                      <w:i/>
                    </w:rPr>
                  </m:ctrlPr>
                </m:dPr>
                <m:e>
                  <m:r>
                    <m:rPr>
                      <m:sty m:val="p"/>
                    </m:rPr>
                    <w:rPr>
                      <w:rFonts w:ascii="Cambria Math" w:hAnsi="Cambria Math"/>
                    </w:rPr>
                    <m:t>S40</m:t>
                  </m:r>
                  <m:ctrlPr>
                    <w:rPr>
                      <w:rFonts w:ascii="Cambria Math" w:hAnsi="Cambria Math"/>
                    </w:rPr>
                  </m:ctrlPr>
                </m:e>
              </m:d>
            </m:e>
          </m:eqArr>
        </m:oMath>
      </m:oMathPara>
    </w:p>
    <w:p w14:paraId="1A848ECB" w14:textId="77777777" w:rsidR="001054A1" w:rsidRPr="001054A1" w:rsidRDefault="001054A1" w:rsidP="001054A1">
      <w:pPr>
        <w:pStyle w:val="NoSpacing"/>
        <w:jc w:val="both"/>
        <w:rPr>
          <w:rFonts w:ascii="Times New Roman" w:hAnsi="Times New Roman"/>
        </w:rPr>
      </w:pPr>
      <w:r w:rsidRPr="001054A1">
        <w:rPr>
          <w:rFonts w:ascii="Times New Roman" w:hAnsi="Times New Roman"/>
        </w:rPr>
        <w:t xml:space="preserve">This can be rearranged to give the concentration of </w:t>
      </w:r>
      <w:proofErr w:type="spellStart"/>
      <w:r w:rsidRPr="001054A1">
        <w:rPr>
          <w:rFonts w:ascii="Times New Roman" w:hAnsi="Times New Roman"/>
        </w:rPr>
        <w:t>sulfur</w:t>
      </w:r>
      <w:proofErr w:type="spellEnd"/>
      <w:r w:rsidRPr="001054A1">
        <w:rPr>
          <w:rFonts w:ascii="Times New Roman" w:hAnsi="Times New Roman"/>
        </w:rPr>
        <w:t xml:space="preserve"> dissolved in the silicate melt as the </w:t>
      </w:r>
      <w:proofErr w:type="spellStart"/>
      <w:r w:rsidRPr="001054A1">
        <w:rPr>
          <w:rFonts w:ascii="Times New Roman" w:hAnsi="Times New Roman"/>
        </w:rPr>
        <w:t>FeS</w:t>
      </w:r>
      <w:proofErr w:type="spellEnd"/>
      <w:r w:rsidRPr="001054A1">
        <w:rPr>
          <w:rFonts w:ascii="Times New Roman" w:hAnsi="Times New Roman"/>
        </w:rPr>
        <w:t xml:space="preserve"> species:</w:t>
      </w:r>
    </w:p>
    <w:p w14:paraId="6A66C51B" w14:textId="070F1E38" w:rsidR="001054A1" w:rsidRPr="001054A1" w:rsidRDefault="00063B50" w:rsidP="001054A1">
      <w:pPr>
        <w:pStyle w:val="equation"/>
        <w:rPr>
          <w:rFonts w:ascii="Times New Roman" w:hAnsi="Times New Roman"/>
          <w:i/>
        </w:rPr>
      </w:pPr>
      <m:oMathPara>
        <m:oMath>
          <m:eqArr>
            <m:eqArrPr>
              <m:maxDist m:val="1"/>
              <m:ctrlPr>
                <w:rPr>
                  <w:rFonts w:ascii="Cambria Math" w:hAnsi="Cambria Math"/>
                </w:rPr>
              </m:ctrlPr>
            </m:eqArrPr>
            <m:e>
              <m:sSubSup>
                <m:sSubSupPr>
                  <m:ctrlPr>
                    <w:rPr>
                      <w:rFonts w:ascii="Cambria Math" w:hAnsi="Cambria Math"/>
                    </w:rPr>
                  </m:ctrlPr>
                </m:sSubSupPr>
                <m:e>
                  <m:r>
                    <w:rPr>
                      <w:rFonts w:ascii="Cambria Math" w:hAnsi="Cambria Math"/>
                    </w:rPr>
                    <m:t>x</m:t>
                  </m:r>
                </m:e>
                <m:sub>
                  <m:r>
                    <m:rPr>
                      <m:sty m:val="p"/>
                    </m:rPr>
                    <w:rPr>
                      <w:rFonts w:ascii="Cambria Math" w:hAnsi="Cambria Math"/>
                    </w:rPr>
                    <m:t>FeS</m:t>
                  </m:r>
                </m:sub>
                <m:sup>
                  <m:r>
                    <w:rPr>
                      <w:rFonts w:ascii="Cambria Math" w:hAnsi="Cambria Math"/>
                    </w:rPr>
                    <m:t>m</m:t>
                  </m:r>
                </m:sup>
              </m:sSubSup>
              <m:r>
                <m:rPr>
                  <m:sty m:val="p"/>
                </m:rPr>
                <w:rPr>
                  <w:rFonts w:ascii="Cambria Math" w:hAnsi="Cambria Math"/>
                </w:rPr>
                <m:t>=</m:t>
              </m:r>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γ</m:t>
                              </m:r>
                            </m:e>
                            <m:sub>
                              <m:r>
                                <m:rPr>
                                  <m:sty m:val="p"/>
                                </m:rPr>
                                <w:rPr>
                                  <w:rFonts w:ascii="Cambria Math" w:hAnsi="Cambria Math"/>
                                </w:rPr>
                                <m:t>FeO</m:t>
                              </m:r>
                            </m:sub>
                            <m:sup>
                              <m:r>
                                <w:rPr>
                                  <w:rFonts w:ascii="Cambria Math" w:hAnsi="Cambria Math"/>
                                </w:rPr>
                                <m:t>m</m:t>
                              </m:r>
                            </m:sup>
                          </m:sSubSup>
                        </m:num>
                        <m:den>
                          <m:sSubSup>
                            <m:sSubSupPr>
                              <m:ctrlPr>
                                <w:rPr>
                                  <w:rFonts w:ascii="Cambria Math" w:hAnsi="Cambria Math"/>
                                </w:rPr>
                              </m:ctrlPr>
                            </m:sSubSupPr>
                            <m:e>
                              <m:r>
                                <w:rPr>
                                  <w:rFonts w:ascii="Cambria Math" w:hAnsi="Cambria Math"/>
                                </w:rPr>
                                <m:t>γ</m:t>
                              </m:r>
                            </m:e>
                            <m:sub>
                              <m:r>
                                <m:rPr>
                                  <m:sty m:val="p"/>
                                </m:rPr>
                                <w:rPr>
                                  <w:rFonts w:ascii="Cambria Math" w:hAnsi="Cambria Math"/>
                                </w:rPr>
                                <m:t>FeS</m:t>
                              </m:r>
                            </m:sub>
                            <m:sup>
                              <m:r>
                                <w:rPr>
                                  <w:rFonts w:ascii="Cambria Math" w:hAnsi="Cambria Math"/>
                                </w:rPr>
                                <m:t>m</m:t>
                              </m:r>
                            </m:sup>
                          </m:sSubSup>
                        </m:den>
                      </m:f>
                      <m:sSub>
                        <m:sSubPr>
                          <m:ctrlPr>
                            <w:rPr>
                              <w:rFonts w:ascii="Cambria Math" w:hAnsi="Cambria Math"/>
                            </w:rPr>
                          </m:ctrlPr>
                        </m:sSubPr>
                        <m:e>
                          <m:r>
                            <w:rPr>
                              <w:rFonts w:ascii="Cambria Math" w:hAnsi="Cambria Math"/>
                            </w:rPr>
                            <m:t>K</m:t>
                          </m:r>
                        </m:e>
                        <m:sub>
                          <m:r>
                            <m:rPr>
                              <m:sty m:val="p"/>
                            </m:rPr>
                            <w:rPr>
                              <w:rFonts w:ascii="Cambria Math" w:hAnsi="Cambria Math"/>
                            </w:rPr>
                            <m:t>FeS</m:t>
                          </m:r>
                        </m:sub>
                      </m:sSub>
                    </m:e>
                  </m:d>
                  <m:sSubSup>
                    <m:sSubSupPr>
                      <m:ctrlPr>
                        <w:rPr>
                          <w:rFonts w:ascii="Cambria Math" w:hAnsi="Cambria Math"/>
                        </w:rPr>
                      </m:ctrlPr>
                    </m:sSubSupPr>
                    <m:e>
                      <m:r>
                        <w:rPr>
                          <w:rFonts w:ascii="Cambria Math" w:hAnsi="Cambria Math"/>
                        </w:rPr>
                        <m:t>x</m:t>
                      </m:r>
                    </m:e>
                    <m:sub>
                      <m:r>
                        <m:rPr>
                          <m:sty m:val="p"/>
                        </m:rPr>
                        <w:rPr>
                          <w:rFonts w:ascii="Cambria Math" w:hAnsi="Cambria Math"/>
                        </w:rPr>
                        <m:t>FeO</m:t>
                      </m:r>
                    </m:sub>
                    <m:sup>
                      <m:r>
                        <w:rPr>
                          <w:rFonts w:ascii="Cambria Math" w:hAnsi="Cambria Math"/>
                        </w:rPr>
                        <m:t>m</m:t>
                      </m:r>
                    </m:sup>
                  </m:sSubSup>
                </m:e>
              </m:d>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FeS</m:t>
                  </m:r>
                </m:sub>
              </m:sSub>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w:rPr>
                  <w:rFonts w:ascii="Cambria Math" w:hAnsi="Cambria Math"/>
                </w:rPr>
                <m:t>, #</m:t>
              </m:r>
              <m:d>
                <m:dPr>
                  <m:ctrlPr>
                    <w:rPr>
                      <w:rFonts w:ascii="Cambria Math" w:hAnsi="Cambria Math"/>
                    </w:rPr>
                  </m:ctrlPr>
                </m:dPr>
                <m:e>
                  <m:r>
                    <m:rPr>
                      <m:sty m:val="p"/>
                    </m:rPr>
                    <w:rPr>
                      <w:rFonts w:ascii="Cambria Math" w:hAnsi="Cambria Math"/>
                    </w:rPr>
                    <m:t>S41</m:t>
                  </m:r>
                </m:e>
              </m:d>
              <m:ctrlPr>
                <w:rPr>
                  <w:rFonts w:ascii="Cambria Math" w:hAnsi="Cambria Math"/>
                  <w:i/>
                </w:rPr>
              </m:ctrlPr>
            </m:e>
          </m:eqArr>
        </m:oMath>
      </m:oMathPara>
    </w:p>
    <w:p w14:paraId="03A481F7" w14:textId="077DD0B4" w:rsidR="001054A1" w:rsidRPr="001054A1" w:rsidRDefault="001054A1" w:rsidP="001054A1">
      <w:pPr>
        <w:pStyle w:val="NoSpacing"/>
        <w:jc w:val="both"/>
        <w:rPr>
          <w:rFonts w:ascii="Times New Roman" w:hAnsi="Times New Roman"/>
        </w:rPr>
      </w:pPr>
      <w:r w:rsidRPr="001054A1">
        <w:rPr>
          <w:rFonts w:ascii="Times New Roman" w:hAnsi="Times New Roman"/>
        </w:rPr>
        <w:t xml:space="preserve">where </w:t>
      </w:r>
      <w:proofErr w:type="spellStart"/>
      <w:r w:rsidR="00150BDA" w:rsidRPr="00150BDA">
        <w:rPr>
          <w:rFonts w:ascii="Times New Roman" w:hAnsi="Times New Roman"/>
          <w:i/>
          <w:iCs/>
        </w:rPr>
        <w:t>C</w:t>
      </w:r>
      <w:r w:rsidR="00150BDA" w:rsidRPr="00150BDA">
        <w:rPr>
          <w:rFonts w:ascii="Times New Roman" w:hAnsi="Times New Roman"/>
          <w:vertAlign w:val="subscript"/>
        </w:rPr>
        <w:t>FeS</w:t>
      </w:r>
      <w:proofErr w:type="spellEnd"/>
      <w:r w:rsidRPr="001054A1">
        <w:rPr>
          <w:rFonts w:ascii="Times New Roman" w:hAnsi="Times New Roman"/>
        </w:rPr>
        <w:t xml:space="preserve"> (equivalent to the term in [] brackets) is known as the “</w:t>
      </w:r>
      <w:proofErr w:type="spellStart"/>
      <w:r w:rsidR="00150BDA" w:rsidRPr="001054A1">
        <w:rPr>
          <w:rFonts w:ascii="Times New Roman" w:hAnsi="Times New Roman"/>
        </w:rPr>
        <w:t>sul</w:t>
      </w:r>
      <w:r w:rsidR="00150BDA">
        <w:rPr>
          <w:rFonts w:ascii="Times New Roman" w:hAnsi="Times New Roman"/>
        </w:rPr>
        <w:t>f</w:t>
      </w:r>
      <w:r w:rsidR="00150BDA" w:rsidRPr="001054A1">
        <w:rPr>
          <w:rFonts w:ascii="Times New Roman" w:hAnsi="Times New Roman"/>
        </w:rPr>
        <w:t>ide</w:t>
      </w:r>
      <w:proofErr w:type="spellEnd"/>
      <w:r w:rsidR="00150BDA" w:rsidRPr="001054A1">
        <w:rPr>
          <w:rFonts w:ascii="Times New Roman" w:hAnsi="Times New Roman"/>
        </w:rPr>
        <w:t xml:space="preserve"> </w:t>
      </w:r>
      <w:r w:rsidRPr="001054A1">
        <w:rPr>
          <w:rFonts w:ascii="Times New Roman" w:hAnsi="Times New Roman"/>
        </w:rPr>
        <w:t>capacity” for Fe</w:t>
      </w:r>
      <w:r w:rsidRPr="001054A1">
        <w:rPr>
          <w:rFonts w:ascii="Times New Roman" w:hAnsi="Times New Roman"/>
          <w:vertAlign w:val="superscript"/>
        </w:rPr>
        <w:t>2+</w:t>
      </w:r>
      <w:r w:rsidRPr="001054A1">
        <w:rPr>
          <w:rFonts w:ascii="Times New Roman" w:hAnsi="Times New Roman"/>
        </w:rPr>
        <w:t xml:space="preserve">, which we could simplify further if we assume melt species mix ideally (i.e., </w:t>
      </w:r>
      <w:proofErr w:type="spellStart"/>
      <w:r w:rsidR="00150BDA" w:rsidRPr="00B67966">
        <w:rPr>
          <w:rFonts w:ascii="Times New Roman" w:hAnsi="Times New Roman"/>
          <w:i/>
          <w:iCs/>
          <w:color w:val="000000" w:themeColor="text1"/>
        </w:rPr>
        <w:t>γ</w:t>
      </w:r>
      <w:r w:rsidR="00150BDA" w:rsidRPr="00FD2F77">
        <w:rPr>
          <w:rFonts w:ascii="Times New Roman" w:hAnsi="Times New Roman"/>
          <w:i/>
          <w:iCs/>
          <w:color w:val="000000" w:themeColor="text1"/>
          <w:vertAlign w:val="superscript"/>
        </w:rPr>
        <w:t>m</w:t>
      </w:r>
      <w:r w:rsidR="00150BDA">
        <w:rPr>
          <w:rFonts w:ascii="Times New Roman" w:hAnsi="Times New Roman"/>
          <w:i/>
          <w:iCs/>
          <w:color w:val="000000" w:themeColor="text1"/>
          <w:vertAlign w:val="subscript"/>
        </w:rPr>
        <w:t>i</w:t>
      </w:r>
      <w:proofErr w:type="spellEnd"/>
      <w:r w:rsidR="00150BDA" w:rsidRPr="00150BDA">
        <w:rPr>
          <w:rFonts w:ascii="Times New Roman" w:hAnsi="Times New Roman"/>
          <w:i/>
          <w:iCs/>
          <w:color w:val="000000" w:themeColor="text1"/>
        </w:rPr>
        <w:t xml:space="preserve"> </w:t>
      </w:r>
      <w:r w:rsidR="00150BDA" w:rsidRPr="0096460B">
        <w:rPr>
          <w:rFonts w:ascii="Times New Roman" w:hAnsi="Times New Roman"/>
          <w:color w:val="000000" w:themeColor="text1"/>
        </w:rPr>
        <w:t>= 1</w:t>
      </w:r>
      <w:r w:rsidRPr="001054A1">
        <w:rPr>
          <w:rFonts w:ascii="Times New Roman" w:hAnsi="Times New Roman"/>
        </w:rPr>
        <w:t>).  We can write equation</w:t>
      </w:r>
      <w:r w:rsidR="00D66D9A">
        <w:rPr>
          <w:rFonts w:ascii="Times New Roman" w:hAnsi="Times New Roman"/>
        </w:rPr>
        <w:t xml:space="preserve">s </w:t>
      </w:r>
      <w:proofErr w:type="gramStart"/>
      <w:r w:rsidR="00D66D9A">
        <w:rPr>
          <w:rFonts w:ascii="Times New Roman" w:hAnsi="Times New Roman"/>
        </w:rPr>
        <w:t>similar</w:t>
      </w:r>
      <w:r w:rsidRPr="001054A1">
        <w:rPr>
          <w:rFonts w:ascii="Times New Roman" w:hAnsi="Times New Roman"/>
        </w:rPr>
        <w:t xml:space="preserve"> to</w:t>
      </w:r>
      <w:proofErr w:type="gramEnd"/>
      <w:r w:rsidRPr="001054A1">
        <w:rPr>
          <w:rFonts w:ascii="Times New Roman" w:hAnsi="Times New Roman"/>
        </w:rPr>
        <w:t xml:space="preserve"> </w:t>
      </w:r>
      <w:r w:rsidRPr="001E4E2F">
        <w:rPr>
          <w:rFonts w:ascii="Times New Roman" w:hAnsi="Times New Roman"/>
          <w:color w:val="000000" w:themeColor="text1"/>
        </w:rPr>
        <w:t>(</w:t>
      </w:r>
      <w:r w:rsidR="000D5520">
        <w:rPr>
          <w:rFonts w:ascii="Times New Roman" w:hAnsi="Times New Roman"/>
          <w:color w:val="000000" w:themeColor="text1"/>
        </w:rPr>
        <w:t>S</w:t>
      </w:r>
      <w:r w:rsidR="00D565F5">
        <w:rPr>
          <w:rFonts w:ascii="Times New Roman" w:hAnsi="Times New Roman"/>
          <w:color w:val="000000" w:themeColor="text1"/>
        </w:rPr>
        <w:t>3</w:t>
      </w:r>
      <w:r w:rsidR="001C4A06">
        <w:rPr>
          <w:rFonts w:ascii="Times New Roman" w:hAnsi="Times New Roman"/>
          <w:color w:val="000000" w:themeColor="text1"/>
        </w:rPr>
        <w:t>9</w:t>
      </w:r>
      <w:r w:rsidRPr="001E4E2F">
        <w:rPr>
          <w:rFonts w:ascii="Times New Roman" w:hAnsi="Times New Roman"/>
          <w:color w:val="000000" w:themeColor="text1"/>
        </w:rPr>
        <w:t>–</w:t>
      </w:r>
      <w:r w:rsidR="000D5520">
        <w:rPr>
          <w:rFonts w:ascii="Times New Roman" w:hAnsi="Times New Roman"/>
          <w:color w:val="000000" w:themeColor="text1"/>
        </w:rPr>
        <w:t>S</w:t>
      </w:r>
      <w:r w:rsidR="00D565F5">
        <w:rPr>
          <w:rFonts w:ascii="Times New Roman" w:hAnsi="Times New Roman"/>
          <w:color w:val="000000" w:themeColor="text1"/>
        </w:rPr>
        <w:t>4</w:t>
      </w:r>
      <w:r w:rsidR="001C4A06">
        <w:rPr>
          <w:rFonts w:ascii="Times New Roman" w:hAnsi="Times New Roman"/>
          <w:color w:val="000000" w:themeColor="text1"/>
        </w:rPr>
        <w:t>1</w:t>
      </w:r>
      <w:r w:rsidRPr="001054A1">
        <w:rPr>
          <w:rFonts w:ascii="Times New Roman" w:hAnsi="Times New Roman"/>
        </w:rPr>
        <w:t xml:space="preserve">) for all oxide and associated </w:t>
      </w:r>
      <w:proofErr w:type="spellStart"/>
      <w:r w:rsidR="00150BDA" w:rsidRPr="001054A1">
        <w:rPr>
          <w:rFonts w:ascii="Times New Roman" w:hAnsi="Times New Roman"/>
        </w:rPr>
        <w:t>sul</w:t>
      </w:r>
      <w:r w:rsidR="00150BDA">
        <w:rPr>
          <w:rFonts w:ascii="Times New Roman" w:hAnsi="Times New Roman"/>
        </w:rPr>
        <w:t>f</w:t>
      </w:r>
      <w:r w:rsidR="00150BDA" w:rsidRPr="001054A1">
        <w:rPr>
          <w:rFonts w:ascii="Times New Roman" w:hAnsi="Times New Roman"/>
        </w:rPr>
        <w:t>ide</w:t>
      </w:r>
      <w:proofErr w:type="spellEnd"/>
      <w:r w:rsidR="00150BDA" w:rsidRPr="001054A1">
        <w:rPr>
          <w:rFonts w:ascii="Times New Roman" w:hAnsi="Times New Roman"/>
        </w:rPr>
        <w:t xml:space="preserve"> </w:t>
      </w:r>
      <w:r w:rsidRPr="001054A1">
        <w:rPr>
          <w:rFonts w:ascii="Times New Roman" w:hAnsi="Times New Roman"/>
        </w:rPr>
        <w:t xml:space="preserve">species in the silicate melt (e.g., </w:t>
      </w:r>
      <w:proofErr w:type="spellStart"/>
      <w:r w:rsidRPr="001054A1">
        <w:rPr>
          <w:rFonts w:ascii="Times New Roman" w:hAnsi="Times New Roman"/>
        </w:rPr>
        <w:t>CaO</w:t>
      </w:r>
      <w:proofErr w:type="spellEnd"/>
      <w:r w:rsidRPr="001054A1">
        <w:rPr>
          <w:rFonts w:ascii="Times New Roman" w:hAnsi="Times New Roman"/>
        </w:rPr>
        <w:t xml:space="preserve"> </w:t>
      </w:r>
      <w:r w:rsidRPr="001054A1">
        <w:rPr>
          <w:rFonts w:ascii="Times New Roman" w:hAnsi="Times New Roman"/>
        </w:rPr>
        <w:sym w:font="Symbol" w:char="F0AE"/>
      </w:r>
      <w:r w:rsidRPr="001054A1">
        <w:rPr>
          <w:rFonts w:ascii="Times New Roman" w:hAnsi="Times New Roman"/>
        </w:rPr>
        <w:t xml:space="preserve"> </w:t>
      </w:r>
      <w:proofErr w:type="spellStart"/>
      <w:r w:rsidRPr="001054A1">
        <w:rPr>
          <w:rFonts w:ascii="Times New Roman" w:hAnsi="Times New Roman"/>
        </w:rPr>
        <w:t>CaS</w:t>
      </w:r>
      <w:proofErr w:type="spellEnd"/>
      <w:r w:rsidRPr="001054A1">
        <w:rPr>
          <w:rFonts w:ascii="Times New Roman" w:hAnsi="Times New Roman"/>
        </w:rPr>
        <w:t xml:space="preserve">, etc.: </w:t>
      </w:r>
      <w:r w:rsidRPr="001054A1">
        <w:rPr>
          <w:rFonts w:ascii="Times New Roman" w:hAnsi="Times New Roman"/>
          <w:i/>
          <w:iCs/>
        </w:rPr>
        <w:t>n</w:t>
      </w:r>
      <w:r w:rsidRPr="001054A1">
        <w:rPr>
          <w:rFonts w:ascii="Times New Roman" w:hAnsi="Times New Roman"/>
        </w:rPr>
        <w:t xml:space="preserve"> different oxide species with cation of element </w:t>
      </w:r>
      <w:r w:rsidRPr="001054A1">
        <w:rPr>
          <w:rFonts w:ascii="Times New Roman" w:hAnsi="Times New Roman"/>
          <w:i/>
          <w:iCs/>
        </w:rPr>
        <w:t>M</w:t>
      </w:r>
      <w:r w:rsidRPr="001054A1">
        <w:rPr>
          <w:rFonts w:ascii="Times New Roman" w:hAnsi="Times New Roman"/>
        </w:rPr>
        <w:t xml:space="preserve"> of charge </w:t>
      </w:r>
      <w:r w:rsidRPr="001054A1">
        <w:rPr>
          <w:rFonts w:ascii="Times New Roman" w:hAnsi="Times New Roman"/>
          <w:i/>
          <w:iCs/>
        </w:rPr>
        <w:t>z</w:t>
      </w:r>
      <w:r w:rsidRPr="001054A1">
        <w:rPr>
          <w:rFonts w:ascii="Times New Roman" w:hAnsi="Times New Roman"/>
        </w:rPr>
        <w:t xml:space="preserve">) and the total amount of </w:t>
      </w:r>
      <w:proofErr w:type="spellStart"/>
      <w:r w:rsidR="00150BDA" w:rsidRPr="001054A1">
        <w:rPr>
          <w:rFonts w:ascii="Times New Roman" w:hAnsi="Times New Roman"/>
        </w:rPr>
        <w:t>sul</w:t>
      </w:r>
      <w:r w:rsidR="00150BDA">
        <w:rPr>
          <w:rFonts w:ascii="Times New Roman" w:hAnsi="Times New Roman"/>
        </w:rPr>
        <w:t>f</w:t>
      </w:r>
      <w:r w:rsidR="00150BDA" w:rsidRPr="001054A1">
        <w:rPr>
          <w:rFonts w:ascii="Times New Roman" w:hAnsi="Times New Roman"/>
        </w:rPr>
        <w:t>ide</w:t>
      </w:r>
      <w:proofErr w:type="spellEnd"/>
      <w:r w:rsidR="00150BDA" w:rsidRPr="001054A1">
        <w:rPr>
          <w:rFonts w:ascii="Times New Roman" w:hAnsi="Times New Roman"/>
        </w:rPr>
        <w:t xml:space="preserve"> </w:t>
      </w:r>
      <w:r w:rsidRPr="001054A1">
        <w:rPr>
          <w:rFonts w:ascii="Times New Roman" w:hAnsi="Times New Roman"/>
        </w:rPr>
        <w:t xml:space="preserve">dissolved in the silicate melt is the sum of the concentrations of each of the </w:t>
      </w:r>
      <w:proofErr w:type="spellStart"/>
      <w:r w:rsidR="00150BDA" w:rsidRPr="001054A1">
        <w:rPr>
          <w:rFonts w:ascii="Times New Roman" w:hAnsi="Times New Roman"/>
        </w:rPr>
        <w:t>sul</w:t>
      </w:r>
      <w:r w:rsidR="00150BDA">
        <w:rPr>
          <w:rFonts w:ascii="Times New Roman" w:hAnsi="Times New Roman"/>
        </w:rPr>
        <w:t>f</w:t>
      </w:r>
      <w:r w:rsidR="00150BDA" w:rsidRPr="001054A1">
        <w:rPr>
          <w:rFonts w:ascii="Times New Roman" w:hAnsi="Times New Roman"/>
        </w:rPr>
        <w:t>ide</w:t>
      </w:r>
      <w:proofErr w:type="spellEnd"/>
      <w:r w:rsidR="00150BDA" w:rsidRPr="001054A1">
        <w:rPr>
          <w:rFonts w:ascii="Times New Roman" w:hAnsi="Times New Roman"/>
        </w:rPr>
        <w:t xml:space="preserve"> </w:t>
      </w:r>
      <w:r w:rsidRPr="001054A1">
        <w:rPr>
          <w:rFonts w:ascii="Times New Roman" w:hAnsi="Times New Roman"/>
        </w:rPr>
        <w:t xml:space="preserve">species (where </w:t>
      </w:r>
      <m:oMath>
        <m:sSubSup>
          <m:sSubSupPr>
            <m:ctrlPr>
              <w:rPr>
                <w:rFonts w:ascii="Cambria Math" w:hAnsi="Cambria Math"/>
                <w:i/>
              </w:rPr>
            </m:ctrlPr>
          </m:sSubSupPr>
          <m:e>
            <m:r>
              <w:rPr>
                <w:rFonts w:ascii="Cambria Math" w:hAnsi="Cambria Math"/>
              </w:rPr>
              <m:t>γ</m:t>
            </m:r>
          </m:e>
          <m:sub>
            <m:r>
              <w:rPr>
                <w:rFonts w:ascii="Cambria Math" w:hAnsi="Cambria Math"/>
              </w:rPr>
              <m:t>i</m:t>
            </m:r>
          </m:sub>
          <m:sup>
            <m:r>
              <w:rPr>
                <w:rFonts w:ascii="Cambria Math" w:hAnsi="Cambria Math"/>
              </w:rPr>
              <m:t>m</m:t>
            </m:r>
          </m:sup>
        </m:sSubSup>
      </m:oMath>
      <w:r w:rsidRPr="001054A1">
        <w:rPr>
          <w:rFonts w:ascii="Times New Roman" w:hAnsi="Times New Roman"/>
        </w:rPr>
        <w:t xml:space="preserve"> = 1 has been applied):</w:t>
      </w:r>
    </w:p>
    <w:p w14:paraId="591A9C72" w14:textId="50F65CA1"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Sup>
                <m:sSubSupPr>
                  <m:ctrlPr>
                    <w:rPr>
                      <w:rFonts w:ascii="Cambria Math" w:hAnsi="Cambria Math"/>
                    </w:rPr>
                  </m:ctrlPr>
                </m:sSubSupPr>
                <m:e>
                  <m:r>
                    <w:rPr>
                      <w:rFonts w:ascii="Cambria Math" w:hAnsi="Cambria Math"/>
                    </w:rPr>
                    <m:t>w</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up>
                  <m:r>
                    <w:rPr>
                      <w:rFonts w:ascii="Cambria Math" w:hAnsi="Cambria Math"/>
                    </w:rPr>
                    <m:t>m</m:t>
                  </m:r>
                </m:sup>
              </m:sSubSup>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Sup>
                    <m:sSubSupPr>
                      <m:ctrlPr>
                        <w:rPr>
                          <w:rFonts w:ascii="Cambria Math" w:hAnsi="Cambria Math"/>
                        </w:rPr>
                      </m:ctrlPr>
                    </m:sSubSupPr>
                    <m:e>
                      <m:r>
                        <w:rPr>
                          <w:rFonts w:ascii="Cambria Math" w:hAnsi="Cambria Math"/>
                        </w:rPr>
                        <m:t>x</m:t>
                      </m:r>
                    </m:e>
                    <m:sub>
                      <m:sSubSup>
                        <m:sSubSupPr>
                          <m:ctrlPr>
                            <w:rPr>
                              <w:rFonts w:ascii="Cambria Math" w:hAnsi="Cambria Math"/>
                            </w:rPr>
                          </m:ctrlPr>
                        </m:sSubSupPr>
                        <m:e>
                          <m:r>
                            <w:rPr>
                              <w:rFonts w:ascii="Cambria Math" w:hAnsi="Cambria Math"/>
                            </w:rPr>
                            <m:t>M</m:t>
                          </m:r>
                        </m:e>
                        <m:sub>
                          <m:f>
                            <m:fPr>
                              <m:type m:val="lin"/>
                              <m:ctrlPr>
                                <w:rPr>
                                  <w:rFonts w:ascii="Cambria Math" w:hAnsi="Cambria Math"/>
                                  <w:i/>
                                </w:rPr>
                              </m:ctrlPr>
                            </m:fPr>
                            <m:num>
                              <m:r>
                                <w:rPr>
                                  <w:rFonts w:ascii="Cambria Math" w:hAnsi="Cambria Math"/>
                                </w:rPr>
                                <m:t>z</m:t>
                              </m:r>
                            </m:num>
                            <m:den>
                              <m:r>
                                <w:rPr>
                                  <w:rFonts w:ascii="Cambria Math" w:hAnsi="Cambria Math"/>
                                </w:rPr>
                                <m:t>2</m:t>
                              </m:r>
                            </m:den>
                          </m:f>
                        </m:sub>
                        <m:sup>
                          <m:r>
                            <w:rPr>
                              <w:rFonts w:ascii="Cambria Math" w:hAnsi="Cambria Math"/>
                            </w:rPr>
                            <m:t>z+</m:t>
                          </m:r>
                        </m:sup>
                      </m:sSubSup>
                      <m:r>
                        <m:rPr>
                          <m:sty m:val="p"/>
                        </m:rPr>
                        <w:rPr>
                          <w:rFonts w:ascii="Cambria Math" w:hAnsi="Cambria Math"/>
                        </w:rPr>
                        <m:t>S</m:t>
                      </m:r>
                    </m:sub>
                    <m:sup>
                      <m:r>
                        <w:rPr>
                          <w:rFonts w:ascii="Cambria Math" w:hAnsi="Cambria Math"/>
                        </w:rPr>
                        <m:t>m</m:t>
                      </m:r>
                    </m:sup>
                  </m:sSubSup>
                </m:e>
              </m:nary>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m:rPr>
                          <m:sty m:val="p"/>
                        </m:rPr>
                        <w:rPr>
                          <w:rFonts w:ascii="Cambria Math" w:hAnsi="Cambria Math"/>
                        </w:rPr>
                        <m:t>FeS</m:t>
                      </m:r>
                    </m:sub>
                  </m:sSub>
                  <m:sSubSup>
                    <m:sSubSupPr>
                      <m:ctrlPr>
                        <w:rPr>
                          <w:rFonts w:ascii="Cambria Math" w:hAnsi="Cambria Math"/>
                          <w:i/>
                        </w:rPr>
                      </m:ctrlPr>
                    </m:sSubSupPr>
                    <m:e>
                      <m:r>
                        <w:rPr>
                          <w:rFonts w:ascii="Cambria Math" w:hAnsi="Cambria Math"/>
                        </w:rPr>
                        <m:t>x</m:t>
                      </m:r>
                    </m:e>
                    <m:sub>
                      <m:r>
                        <m:rPr>
                          <m:sty m:val="p"/>
                        </m:rPr>
                        <w:rPr>
                          <w:rFonts w:ascii="Cambria Math" w:hAnsi="Cambria Math"/>
                        </w:rPr>
                        <m:t>FeO</m:t>
                      </m:r>
                    </m:sub>
                    <m:sup>
                      <m:r>
                        <w:rPr>
                          <w:rFonts w:ascii="Cambria Math" w:hAnsi="Cambria Math"/>
                        </w:rPr>
                        <m:t>m</m:t>
                      </m:r>
                    </m:sup>
                  </m:sSubSup>
                  <m:r>
                    <w:rPr>
                      <w:rFonts w:ascii="Cambria Math" w:hAnsi="Cambria Math"/>
                    </w:rPr>
                    <m:t>+</m:t>
                  </m:r>
                  <m:sSub>
                    <m:sSubPr>
                      <m:ctrlPr>
                        <w:rPr>
                          <w:rFonts w:ascii="Cambria Math" w:hAnsi="Cambria Math"/>
                          <w:i/>
                        </w:rPr>
                      </m:ctrlPr>
                    </m:sSubPr>
                    <m:e>
                      <m:r>
                        <w:rPr>
                          <w:rFonts w:ascii="Cambria Math" w:hAnsi="Cambria Math"/>
                        </w:rPr>
                        <m:t>K</m:t>
                      </m:r>
                    </m:e>
                    <m:sub>
                      <m:r>
                        <m:rPr>
                          <m:sty m:val="p"/>
                        </m:rPr>
                        <w:rPr>
                          <w:rFonts w:ascii="Cambria Math" w:hAnsi="Cambria Math"/>
                        </w:rPr>
                        <m:t>CaS</m:t>
                      </m:r>
                    </m:sub>
                  </m:sSub>
                  <m:sSubSup>
                    <m:sSubSupPr>
                      <m:ctrlPr>
                        <w:rPr>
                          <w:rFonts w:ascii="Cambria Math" w:hAnsi="Cambria Math"/>
                          <w:i/>
                        </w:rPr>
                      </m:ctrlPr>
                    </m:sSubSupPr>
                    <m:e>
                      <m:r>
                        <w:rPr>
                          <w:rFonts w:ascii="Cambria Math" w:hAnsi="Cambria Math"/>
                        </w:rPr>
                        <m:t>x</m:t>
                      </m:r>
                    </m:e>
                    <m:sub>
                      <m:r>
                        <m:rPr>
                          <m:sty m:val="p"/>
                        </m:rPr>
                        <w:rPr>
                          <w:rFonts w:ascii="Cambria Math" w:hAnsi="Cambria Math"/>
                        </w:rPr>
                        <m:t>CaO</m:t>
                      </m:r>
                    </m:sub>
                    <m:sup>
                      <m:r>
                        <w:rPr>
                          <w:rFonts w:ascii="Cambria Math" w:hAnsi="Cambria Math"/>
                        </w:rPr>
                        <m:t>m</m:t>
                      </m:r>
                    </m:sup>
                  </m:sSubSup>
                  <m:r>
                    <w:rPr>
                      <w:rFonts w:ascii="Cambria Math" w:hAnsi="Cambria Math"/>
                    </w:rPr>
                    <m:t>+…</m:t>
                  </m:r>
                </m:e>
              </m:d>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e>
            <m:e>
              <m:r>
                <w:rPr>
                  <w:rFonts w:ascii="Cambria Math" w:hAnsi="Cambria Math"/>
                </w:rPr>
                <m:t>=</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C</m:t>
                      </m:r>
                    </m:e>
                    <m:sub>
                      <m:r>
                        <m:rPr>
                          <m:sty m:val="p"/>
                        </m:rPr>
                        <w:rPr>
                          <w:rFonts w:ascii="Cambria Math" w:hAnsi="Cambria Math"/>
                        </w:rPr>
                        <m:t>FeS</m:t>
                      </m:r>
                    </m:sub>
                  </m:sSub>
                  <m:r>
                    <w:rPr>
                      <w:rFonts w:ascii="Cambria Math" w:hAnsi="Cambria Math"/>
                    </w:rPr>
                    <m:t>+</m:t>
                  </m:r>
                  <m:sSub>
                    <m:sSubPr>
                      <m:ctrlPr>
                        <w:rPr>
                          <w:rFonts w:ascii="Cambria Math" w:hAnsi="Cambria Math"/>
                          <w:i/>
                        </w:rPr>
                      </m:ctrlPr>
                    </m:sSubPr>
                    <m:e>
                      <m:r>
                        <w:rPr>
                          <w:rFonts w:ascii="Cambria Math" w:hAnsi="Cambria Math"/>
                        </w:rPr>
                        <m:t>C</m:t>
                      </m:r>
                    </m:e>
                    <m:sub>
                      <m:r>
                        <m:rPr>
                          <m:sty m:val="p"/>
                        </m:rPr>
                        <w:rPr>
                          <w:rFonts w:ascii="Cambria Math" w:hAnsi="Cambria Math"/>
                        </w:rPr>
                        <m:t>CaS</m:t>
                      </m:r>
                    </m:sub>
                  </m:sSub>
                  <m:r>
                    <w:rPr>
                      <w:rFonts w:ascii="Cambria Math" w:hAnsi="Cambria Math"/>
                    </w:rPr>
                    <m:t>+…</m:t>
                  </m:r>
                </m:e>
              </m:d>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d>
                <m:dPr>
                  <m:begChr m:val="["/>
                  <m:endChr m:val="]"/>
                  <m:ctrlPr>
                    <w:rPr>
                      <w:rFonts w:ascii="Cambria Math" w:hAnsi="Cambria Math"/>
                      <w:i/>
                    </w:rPr>
                  </m:ctrlPr>
                </m:dPr>
                <m:e>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C</m:t>
                          </m:r>
                        </m:e>
                        <m:sub>
                          <m:sSubSup>
                            <m:sSubSupPr>
                              <m:ctrlPr>
                                <w:rPr>
                                  <w:rFonts w:ascii="Cambria Math" w:hAnsi="Cambria Math"/>
                                </w:rPr>
                              </m:ctrlPr>
                            </m:sSubSupPr>
                            <m:e>
                              <m:r>
                                <w:rPr>
                                  <w:rFonts w:ascii="Cambria Math" w:hAnsi="Cambria Math"/>
                                </w:rPr>
                                <m:t>M</m:t>
                              </m:r>
                            </m:e>
                            <m:sub>
                              <m:f>
                                <m:fPr>
                                  <m:type m:val="lin"/>
                                  <m:ctrlPr>
                                    <w:rPr>
                                      <w:rFonts w:ascii="Cambria Math" w:hAnsi="Cambria Math"/>
                                      <w:i/>
                                    </w:rPr>
                                  </m:ctrlPr>
                                </m:fPr>
                                <m:num>
                                  <m:r>
                                    <w:rPr>
                                      <w:rFonts w:ascii="Cambria Math" w:hAnsi="Cambria Math"/>
                                    </w:rPr>
                                    <m:t>z</m:t>
                                  </m:r>
                                </m:num>
                                <m:den>
                                  <m:r>
                                    <w:rPr>
                                      <w:rFonts w:ascii="Cambria Math" w:hAnsi="Cambria Math"/>
                                    </w:rPr>
                                    <m:t>2</m:t>
                                  </m:r>
                                </m:den>
                              </m:f>
                            </m:sub>
                            <m:sup>
                              <m:r>
                                <w:rPr>
                                  <w:rFonts w:ascii="Cambria Math" w:hAnsi="Cambria Math"/>
                                </w:rPr>
                                <m:t>z+</m:t>
                              </m:r>
                            </m:sup>
                          </m:sSubSup>
                          <m:r>
                            <m:rPr>
                              <m:sty m:val="p"/>
                            </m:rPr>
                            <w:rPr>
                              <w:rFonts w:ascii="Cambria Math" w:hAnsi="Cambria Math"/>
                            </w:rPr>
                            <m:t>S</m:t>
                          </m:r>
                        </m:sub>
                      </m:sSub>
                    </m:e>
                  </m:nary>
                </m:e>
              </m:d>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b>
                <m:sSubPr>
                  <m:ctrlPr>
                    <w:rPr>
                      <w:rFonts w:ascii="Cambria Math" w:hAnsi="Cambria Math"/>
                      <w:i/>
                    </w:rPr>
                  </m:ctrlPr>
                </m:sSubPr>
                <m:e>
                  <m:r>
                    <w:rPr>
                      <w:rFonts w:ascii="Cambria Math" w:hAnsi="Cambria Math"/>
                    </w:rPr>
                    <m:t>C</m:t>
                  </m:r>
                </m:e>
                <m:sub>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sub>
              </m:sSub>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d>
                <m:dPr>
                  <m:ctrlPr>
                    <w:rPr>
                      <w:rFonts w:ascii="Cambria Math" w:hAnsi="Cambria Math"/>
                      <w:i/>
                    </w:rPr>
                  </m:ctrlPr>
                </m:dPr>
                <m:e>
                  <m:r>
                    <m:rPr>
                      <m:sty m:val="p"/>
                    </m:rPr>
                    <w:rPr>
                      <w:rFonts w:ascii="Cambria Math" w:hAnsi="Cambria Math"/>
                    </w:rPr>
                    <m:t>S42</m:t>
                  </m:r>
                  <m:ctrlPr>
                    <w:rPr>
                      <w:rFonts w:ascii="Cambria Math" w:hAnsi="Cambria Math"/>
                    </w:rPr>
                  </m:ctrlPr>
                </m:e>
              </m:d>
            </m:e>
          </m:eqArr>
        </m:oMath>
      </m:oMathPara>
    </w:p>
    <w:p w14:paraId="6CF0B8B3" w14:textId="769C2263" w:rsidR="001054A1" w:rsidRPr="001054A1" w:rsidRDefault="00D66D9A" w:rsidP="001054A1">
      <w:pPr>
        <w:pStyle w:val="NoSpacing"/>
        <w:jc w:val="both"/>
        <w:rPr>
          <w:rFonts w:ascii="Times New Roman" w:hAnsi="Times New Roman"/>
        </w:rPr>
      </w:pPr>
      <w:r>
        <w:rPr>
          <w:rFonts w:ascii="Times New Roman" w:hAnsi="Times New Roman"/>
        </w:rPr>
        <w:t>w</w:t>
      </w:r>
      <w:r w:rsidRPr="001054A1">
        <w:rPr>
          <w:rFonts w:ascii="Times New Roman" w:hAnsi="Times New Roman"/>
        </w:rPr>
        <w:t xml:space="preserve">here </w:t>
      </w:r>
      <w:r w:rsidR="00150BDA" w:rsidRPr="00150BDA">
        <w:rPr>
          <w:rFonts w:ascii="Times New Roman" w:hAnsi="Times New Roman"/>
          <w:i/>
          <w:iCs/>
        </w:rPr>
        <w:t>C</w:t>
      </w:r>
      <w:r w:rsidR="00150BDA" w:rsidRPr="00150BDA">
        <w:rPr>
          <w:rFonts w:ascii="Times New Roman" w:hAnsi="Times New Roman"/>
          <w:vertAlign w:val="subscript"/>
        </w:rPr>
        <w:t>S2-</w:t>
      </w:r>
      <w:r w:rsidR="001054A1" w:rsidRPr="001054A1">
        <w:rPr>
          <w:rFonts w:ascii="Times New Roman" w:hAnsi="Times New Roman"/>
        </w:rPr>
        <w:t xml:space="preserve"> is the “</w:t>
      </w:r>
      <w:proofErr w:type="spellStart"/>
      <w:r w:rsidR="00150BDA" w:rsidRPr="001054A1">
        <w:rPr>
          <w:rFonts w:ascii="Times New Roman" w:hAnsi="Times New Roman"/>
        </w:rPr>
        <w:t>sul</w:t>
      </w:r>
      <w:r w:rsidR="00150BDA">
        <w:rPr>
          <w:rFonts w:ascii="Times New Roman" w:hAnsi="Times New Roman"/>
        </w:rPr>
        <w:t>f</w:t>
      </w:r>
      <w:r w:rsidR="00150BDA" w:rsidRPr="001054A1">
        <w:rPr>
          <w:rFonts w:ascii="Times New Roman" w:hAnsi="Times New Roman"/>
        </w:rPr>
        <w:t>ide</w:t>
      </w:r>
      <w:proofErr w:type="spellEnd"/>
      <w:r w:rsidR="00150BDA" w:rsidRPr="001054A1">
        <w:rPr>
          <w:rFonts w:ascii="Times New Roman" w:hAnsi="Times New Roman"/>
        </w:rPr>
        <w:t xml:space="preserve"> </w:t>
      </w:r>
      <w:r w:rsidR="001054A1" w:rsidRPr="001054A1">
        <w:rPr>
          <w:rFonts w:ascii="Times New Roman" w:hAnsi="Times New Roman"/>
        </w:rPr>
        <w:t xml:space="preserve">capacity”. As the equilibrium constants for each reaction only depend on </w:t>
      </w:r>
      <w:r w:rsidR="001054A1" w:rsidRPr="001054A1">
        <w:rPr>
          <w:rFonts w:ascii="Times New Roman" w:hAnsi="Times New Roman"/>
          <w:i/>
          <w:iCs/>
        </w:rPr>
        <w:t>P</w:t>
      </w:r>
      <w:r w:rsidR="001054A1" w:rsidRPr="001054A1">
        <w:rPr>
          <w:rFonts w:ascii="Times New Roman" w:hAnsi="Times New Roman"/>
        </w:rPr>
        <w:t xml:space="preserve"> and </w:t>
      </w:r>
      <w:r w:rsidR="001054A1" w:rsidRPr="001054A1">
        <w:rPr>
          <w:rFonts w:ascii="Times New Roman" w:hAnsi="Times New Roman"/>
          <w:i/>
          <w:iCs/>
        </w:rPr>
        <w:t>T</w:t>
      </w:r>
      <w:r w:rsidR="001054A1" w:rsidRPr="001054A1">
        <w:rPr>
          <w:rFonts w:ascii="Times New Roman" w:hAnsi="Times New Roman"/>
        </w:rPr>
        <w:t xml:space="preserve">, </w:t>
      </w:r>
      <w:r w:rsidR="00150BDA" w:rsidRPr="00150BDA">
        <w:rPr>
          <w:rFonts w:ascii="Times New Roman" w:hAnsi="Times New Roman"/>
          <w:i/>
          <w:iCs/>
        </w:rPr>
        <w:t>C</w:t>
      </w:r>
      <w:r w:rsidR="00150BDA" w:rsidRPr="00150BDA">
        <w:rPr>
          <w:rFonts w:ascii="Times New Roman" w:hAnsi="Times New Roman"/>
          <w:vertAlign w:val="subscript"/>
        </w:rPr>
        <w:t>S2-</w:t>
      </w:r>
      <w:r w:rsidR="001054A1" w:rsidRPr="001054A1">
        <w:rPr>
          <w:rFonts w:ascii="Times New Roman" w:hAnsi="Times New Roman"/>
        </w:rPr>
        <w:t xml:space="preserve"> is a constant for a given melt composition, </w:t>
      </w:r>
      <w:r w:rsidR="001054A1" w:rsidRPr="001054A1">
        <w:rPr>
          <w:rFonts w:ascii="Times New Roman" w:hAnsi="Times New Roman"/>
          <w:i/>
          <w:iCs/>
        </w:rPr>
        <w:t>P</w:t>
      </w:r>
      <w:r w:rsidR="001054A1" w:rsidRPr="001054A1">
        <w:rPr>
          <w:rFonts w:ascii="Times New Roman" w:hAnsi="Times New Roman"/>
        </w:rPr>
        <w:t xml:space="preserve">, and </w:t>
      </w:r>
      <w:r w:rsidR="001054A1" w:rsidRPr="001054A1">
        <w:rPr>
          <w:rFonts w:ascii="Times New Roman" w:hAnsi="Times New Roman"/>
          <w:i/>
          <w:iCs/>
        </w:rPr>
        <w:t>T</w:t>
      </w:r>
      <w:r w:rsidR="001054A1" w:rsidRPr="001054A1">
        <w:rPr>
          <w:rFonts w:ascii="Times New Roman" w:hAnsi="Times New Roman"/>
        </w:rPr>
        <w:t xml:space="preserve">. </w:t>
      </w:r>
    </w:p>
    <w:p w14:paraId="69EA8B75" w14:textId="59FEFD8F" w:rsidR="001054A1" w:rsidRPr="001054A1" w:rsidRDefault="001054A1" w:rsidP="00B22D0E">
      <w:pPr>
        <w:ind w:firstLine="720"/>
        <w:jc w:val="both"/>
        <w:rPr>
          <w:rFonts w:ascii="Times New Roman" w:hAnsi="Times New Roman" w:cs="Times New Roman"/>
        </w:rPr>
      </w:pPr>
      <w:r w:rsidRPr="001054A1">
        <w:rPr>
          <w:rFonts w:ascii="Times New Roman" w:hAnsi="Times New Roman" w:cs="Times New Roman"/>
        </w:rPr>
        <w:t xml:space="preserve">A similar approach can be applied to the </w:t>
      </w:r>
      <w:proofErr w:type="spellStart"/>
      <w:r w:rsidRPr="001054A1">
        <w:rPr>
          <w:rFonts w:ascii="Times New Roman" w:hAnsi="Times New Roman" w:cs="Times New Roman"/>
        </w:rPr>
        <w:t>sulfate</w:t>
      </w:r>
      <w:proofErr w:type="spellEnd"/>
      <w:r w:rsidRPr="001054A1">
        <w:rPr>
          <w:rFonts w:ascii="Times New Roman" w:hAnsi="Times New Roman" w:cs="Times New Roman"/>
        </w:rPr>
        <w:t xml:space="preserve"> capacity, where in equation (</w:t>
      </w:r>
      <w:r w:rsidR="000D5520">
        <w:rPr>
          <w:rFonts w:ascii="Times New Roman" w:hAnsi="Times New Roman" w:cs="Times New Roman"/>
        </w:rPr>
        <w:t>S</w:t>
      </w:r>
      <w:r w:rsidR="00D565F5">
        <w:rPr>
          <w:rFonts w:ascii="Times New Roman" w:hAnsi="Times New Roman" w:cs="Times New Roman"/>
          <w:color w:val="000000" w:themeColor="text1"/>
        </w:rPr>
        <w:t>3</w:t>
      </w:r>
      <w:r w:rsidR="00B22D0E">
        <w:rPr>
          <w:rFonts w:ascii="Times New Roman" w:hAnsi="Times New Roman" w:cs="Times New Roman"/>
          <w:color w:val="000000" w:themeColor="text1"/>
        </w:rPr>
        <w:t>5</w:t>
      </w:r>
      <w:r w:rsidRPr="001054A1">
        <w:rPr>
          <w:rFonts w:ascii="Times New Roman" w:hAnsi="Times New Roman" w:cs="Times New Roman"/>
        </w:rPr>
        <w:t>) we also assumed a single type of O</w:t>
      </w:r>
      <w:r w:rsidRPr="001054A1">
        <w:rPr>
          <w:rFonts w:ascii="Times New Roman" w:hAnsi="Times New Roman" w:cs="Times New Roman"/>
          <w:vertAlign w:val="superscript"/>
        </w:rPr>
        <w:t>2-</w:t>
      </w:r>
      <w:r w:rsidRPr="001054A1">
        <w:rPr>
          <w:rFonts w:ascii="Times New Roman" w:hAnsi="Times New Roman" w:cs="Times New Roman"/>
        </w:rPr>
        <w:t xml:space="preserve"> in the silicate melt. For CaSO</w:t>
      </w:r>
      <w:r w:rsidRPr="001054A1">
        <w:rPr>
          <w:rFonts w:ascii="Times New Roman" w:hAnsi="Times New Roman" w:cs="Times New Roman"/>
          <w:vertAlign w:val="subscript"/>
        </w:rPr>
        <w:t>4</w:t>
      </w:r>
      <w:r w:rsidRPr="001054A1">
        <w:rPr>
          <w:rFonts w:ascii="Times New Roman" w:hAnsi="Times New Roman" w:cs="Times New Roman"/>
        </w:rPr>
        <w:t xml:space="preserve"> the equivalent equations to (</w:t>
      </w:r>
      <w:r w:rsidR="000D5520">
        <w:rPr>
          <w:rFonts w:ascii="Times New Roman" w:hAnsi="Times New Roman" w:cs="Times New Roman"/>
        </w:rPr>
        <w:t>S</w:t>
      </w:r>
      <w:r w:rsidR="00D565F5">
        <w:rPr>
          <w:rFonts w:ascii="Times New Roman" w:hAnsi="Times New Roman" w:cs="Times New Roman"/>
          <w:color w:val="000000" w:themeColor="text1"/>
        </w:rPr>
        <w:t>3</w:t>
      </w:r>
      <w:r w:rsidR="00B22D0E">
        <w:rPr>
          <w:rFonts w:ascii="Times New Roman" w:hAnsi="Times New Roman" w:cs="Times New Roman"/>
          <w:color w:val="000000" w:themeColor="text1"/>
        </w:rPr>
        <w:t>9</w:t>
      </w:r>
      <w:r w:rsidRPr="001054A1">
        <w:rPr>
          <w:rFonts w:ascii="Times New Roman" w:hAnsi="Times New Roman" w:cs="Times New Roman"/>
        </w:rPr>
        <w:t>–</w:t>
      </w:r>
      <w:r w:rsidR="000D5520">
        <w:rPr>
          <w:rFonts w:ascii="Times New Roman" w:hAnsi="Times New Roman" w:cs="Times New Roman"/>
        </w:rPr>
        <w:t>S</w:t>
      </w:r>
      <w:r w:rsidR="00D565F5">
        <w:rPr>
          <w:rFonts w:ascii="Times New Roman" w:hAnsi="Times New Roman" w:cs="Times New Roman"/>
          <w:color w:val="000000" w:themeColor="text1"/>
        </w:rPr>
        <w:t>4</w:t>
      </w:r>
      <w:r w:rsidR="00B22D0E">
        <w:rPr>
          <w:rFonts w:ascii="Times New Roman" w:hAnsi="Times New Roman" w:cs="Times New Roman"/>
          <w:color w:val="000000" w:themeColor="text1"/>
        </w:rPr>
        <w:t>1</w:t>
      </w:r>
      <w:r w:rsidRPr="001054A1">
        <w:rPr>
          <w:rFonts w:ascii="Times New Roman" w:hAnsi="Times New Roman" w:cs="Times New Roman"/>
        </w:rPr>
        <w:t>) are:</w:t>
      </w:r>
    </w:p>
    <w:p w14:paraId="65F4FF03" w14:textId="265241B9"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r>
                <m:rPr>
                  <m:sty m:val="p"/>
                </m:rPr>
                <w:rPr>
                  <w:rFonts w:ascii="Cambria Math" w:hAnsi="Cambria Math"/>
                </w:rPr>
                <m:t>CaO</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m:t>
              </m:r>
              <m:f>
                <m:fPr>
                  <m:ctrlPr>
                    <w:rPr>
                      <w:rFonts w:ascii="Cambria Math" w:hAnsi="Cambria Math"/>
                    </w:rPr>
                  </m:ctrlPr>
                </m:fPr>
                <m:num>
                  <m:r>
                    <m:rPr>
                      <m:sty m:val="p"/>
                    </m:rPr>
                    <w:rPr>
                      <w:rFonts w:ascii="Cambria Math" w:hAnsi="Cambria Math"/>
                    </w:rPr>
                    <m:t>3</m:t>
                  </m:r>
                </m:num>
                <m:den>
                  <m:r>
                    <m:rPr>
                      <m:sty m:val="p"/>
                    </m:rPr>
                    <w:rPr>
                      <w:rFonts w:ascii="Cambria Math" w:hAnsi="Cambria Math"/>
                    </w:rPr>
                    <m:t>2</m:t>
                  </m:r>
                </m:den>
              </m:f>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d>
                <m:dPr>
                  <m:ctrlPr>
                    <w:rPr>
                      <w:rFonts w:ascii="Cambria Math" w:hAnsi="Cambria Math"/>
                    </w:rPr>
                  </m:ctrlPr>
                </m:dPr>
                <m:e>
                  <m:r>
                    <w:rPr>
                      <w:rFonts w:ascii="Cambria Math" w:hAnsi="Cambria Math"/>
                    </w:rPr>
                    <m:t>v</m:t>
                  </m:r>
                </m:e>
              </m:d>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d>
                <m:dPr>
                  <m:ctrlPr>
                    <w:rPr>
                      <w:rFonts w:ascii="Cambria Math" w:hAnsi="Cambria Math"/>
                    </w:rPr>
                  </m:ctrlPr>
                </m:dPr>
                <m:e>
                  <m:r>
                    <w:rPr>
                      <w:rFonts w:ascii="Cambria Math" w:hAnsi="Cambria Math"/>
                    </w:rPr>
                    <m:t>m</m:t>
                  </m:r>
                </m:e>
              </m:d>
              <m:r>
                <w:rPr>
                  <w:rFonts w:ascii="Cambria Math" w:hAnsi="Cambria Math"/>
                </w:rPr>
                <m:t>, #</m:t>
              </m:r>
              <m:d>
                <m:dPr>
                  <m:ctrlPr>
                    <w:rPr>
                      <w:rFonts w:ascii="Cambria Math" w:hAnsi="Cambria Math"/>
                      <w:i/>
                    </w:rPr>
                  </m:ctrlPr>
                </m:dPr>
                <m:e>
                  <m:r>
                    <m:rPr>
                      <m:sty m:val="p"/>
                    </m:rPr>
                    <w:rPr>
                      <w:rFonts w:ascii="Cambria Math" w:hAnsi="Cambria Math"/>
                    </w:rPr>
                    <m:t>S43</m:t>
                  </m:r>
                  <m:ctrlPr>
                    <w:rPr>
                      <w:rFonts w:ascii="Cambria Math" w:hAnsi="Cambria Math"/>
                    </w:rPr>
                  </m:ctrlPr>
                </m:e>
              </m:d>
            </m:e>
          </m:eqArr>
        </m:oMath>
      </m:oMathPara>
    </w:p>
    <w:p w14:paraId="02E80B6E" w14:textId="3CB029D4"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hAnsi="Cambria Math"/>
                    </w:rPr>
                    <m:t>K</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r>
                <m:rPr>
                  <m:sty m:val="p"/>
                </m:rPr>
                <w:rPr>
                  <w:rFonts w:ascii="Cambria Math" w:hAnsi="Cambria Math"/>
                </w:rPr>
                <m:t>=</m:t>
              </m:r>
              <m:f>
                <m:fPr>
                  <m:ctrlPr>
                    <w:rPr>
                      <w:rFonts w:ascii="Cambria Math" w:hAnsi="Cambria Math"/>
                    </w:rPr>
                  </m:ctrlPr>
                </m:fPr>
                <m:num>
                  <m:sSubSup>
                    <m:sSubSupPr>
                      <m:ctrlPr>
                        <w:rPr>
                          <w:rFonts w:ascii="Cambria Math" w:hAnsi="Cambria Math"/>
                          <w:i/>
                        </w:rPr>
                      </m:ctrlPr>
                    </m:sSubSupPr>
                    <m:e>
                      <m:r>
                        <w:rPr>
                          <w:rFonts w:ascii="Cambria Math" w:hAnsi="Cambria Math"/>
                        </w:rPr>
                        <m:t>a</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num>
                <m:den>
                  <m:sSubSup>
                    <m:sSubSupPr>
                      <m:ctrlPr>
                        <w:rPr>
                          <w:rFonts w:ascii="Cambria Math" w:hAnsi="Cambria Math"/>
                          <w:i/>
                        </w:rPr>
                      </m:ctrlPr>
                    </m:sSubSupPr>
                    <m:e>
                      <m:r>
                        <w:rPr>
                          <w:rFonts w:ascii="Cambria Math" w:hAnsi="Cambria Math"/>
                        </w:rPr>
                        <m:t>a</m:t>
                      </m:r>
                    </m:e>
                    <m:sub>
                      <m:r>
                        <m:rPr>
                          <m:sty m:val="p"/>
                        </m:rPr>
                        <w:rPr>
                          <w:rFonts w:ascii="Cambria Math" w:hAnsi="Cambria Math"/>
                        </w:rPr>
                        <m:t>CaO</m:t>
                      </m:r>
                    </m:sub>
                    <m:sup>
                      <m:r>
                        <w:rPr>
                          <w:rFonts w:ascii="Cambria Math" w:hAnsi="Cambria Math"/>
                        </w:rPr>
                        <m:t>m</m:t>
                      </m:r>
                    </m:sup>
                  </m:sSubSup>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γ</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sSubSup>
                    <m:sSubSupPr>
                      <m:ctrlPr>
                        <w:rPr>
                          <w:rFonts w:ascii="Cambria Math" w:hAnsi="Cambria Math"/>
                          <w:i/>
                        </w:rPr>
                      </m:ctrlPr>
                    </m:sSubSupPr>
                    <m:e>
                      <m:r>
                        <w:rPr>
                          <w:rFonts w:ascii="Cambria Math" w:hAnsi="Cambria Math"/>
                        </w:rPr>
                        <m:t>x</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num>
                <m:den>
                  <m:sSubSup>
                    <m:sSubSupPr>
                      <m:ctrlPr>
                        <w:rPr>
                          <w:rFonts w:ascii="Cambria Math" w:hAnsi="Cambria Math"/>
                          <w:i/>
                        </w:rPr>
                      </m:ctrlPr>
                    </m:sSubSupPr>
                    <m:e>
                      <m:r>
                        <w:rPr>
                          <w:rFonts w:ascii="Cambria Math" w:hAnsi="Cambria Math"/>
                        </w:rPr>
                        <m:t>γ</m:t>
                      </m:r>
                    </m:e>
                    <m:sub>
                      <m:r>
                        <m:rPr>
                          <m:sty m:val="p"/>
                        </m:rPr>
                        <w:rPr>
                          <w:rFonts w:ascii="Cambria Math" w:hAnsi="Cambria Math"/>
                        </w:rPr>
                        <m:t>CaO</m:t>
                      </m:r>
                    </m:sub>
                    <m:sup>
                      <m:r>
                        <w:rPr>
                          <w:rFonts w:ascii="Cambria Math" w:hAnsi="Cambria Math"/>
                        </w:rPr>
                        <m:t>m</m:t>
                      </m:r>
                    </m:sup>
                  </m:sSubSup>
                  <m:sSubSup>
                    <m:sSubSupPr>
                      <m:ctrlPr>
                        <w:rPr>
                          <w:rFonts w:ascii="Cambria Math" w:hAnsi="Cambria Math"/>
                          <w:i/>
                        </w:rPr>
                      </m:ctrlPr>
                    </m:sSubSupPr>
                    <m:e>
                      <m:r>
                        <w:rPr>
                          <w:rFonts w:ascii="Cambria Math" w:hAnsi="Cambria Math"/>
                        </w:rPr>
                        <m:t>x</m:t>
                      </m:r>
                    </m:e>
                    <m:sub>
                      <m:r>
                        <m:rPr>
                          <m:sty m:val="p"/>
                        </m:rPr>
                        <w:rPr>
                          <w:rFonts w:ascii="Cambria Math" w:hAnsi="Cambria Math"/>
                        </w:rPr>
                        <m:t>CaO</m:t>
                      </m:r>
                    </m:sub>
                    <m:sup>
                      <m:r>
                        <w:rPr>
                          <w:rFonts w:ascii="Cambria Math" w:hAnsi="Cambria Math"/>
                        </w:rPr>
                        <m:t>m</m:t>
                      </m:r>
                    </m:sup>
                  </m:sSubSup>
                </m:den>
              </m:f>
              <m:f>
                <m:fPr>
                  <m:ctrlPr>
                    <w:rPr>
                      <w:rFonts w:ascii="Cambria Math" w:hAnsi="Cambria Math"/>
                    </w:rPr>
                  </m:ctrlPr>
                </m:fPr>
                <m:num>
                  <m:r>
                    <w:rPr>
                      <w:rFonts w:ascii="Cambria Math" w:hAnsi="Cambria Math"/>
                    </w:rPr>
                    <m:t>1</m:t>
                  </m:r>
                </m:num>
                <m:den>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den>
              </m:f>
              <m:r>
                <w:rPr>
                  <w:rFonts w:ascii="Cambria Math" w:hAnsi="Cambria Math"/>
                </w:rPr>
                <m:t>, #</m:t>
              </m:r>
              <m:d>
                <m:dPr>
                  <m:ctrlPr>
                    <w:rPr>
                      <w:rFonts w:ascii="Cambria Math" w:hAnsi="Cambria Math"/>
                      <w:i/>
                    </w:rPr>
                  </m:ctrlPr>
                </m:dPr>
                <m:e>
                  <m:r>
                    <m:rPr>
                      <m:sty m:val="p"/>
                    </m:rPr>
                    <w:rPr>
                      <w:rFonts w:ascii="Cambria Math" w:hAnsi="Cambria Math"/>
                    </w:rPr>
                    <m:t>S44</m:t>
                  </m:r>
                  <m:ctrlPr>
                    <w:rPr>
                      <w:rFonts w:ascii="Cambria Math" w:hAnsi="Cambria Math"/>
                    </w:rPr>
                  </m:ctrlPr>
                </m:e>
              </m:d>
            </m:e>
          </m:eqArr>
        </m:oMath>
      </m:oMathPara>
    </w:p>
    <w:p w14:paraId="1B0B3FAC" w14:textId="4D4178C4"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Sup>
                <m:sSubSupPr>
                  <m:ctrlPr>
                    <w:rPr>
                      <w:rFonts w:ascii="Cambria Math" w:hAnsi="Cambria Math"/>
                      <w:i/>
                    </w:rPr>
                  </m:ctrlPr>
                </m:sSubSupPr>
                <m:e>
                  <m:r>
                    <w:rPr>
                      <w:rFonts w:ascii="Cambria Math" w:hAnsi="Cambria Math"/>
                    </w:rPr>
                    <m:t>x</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r>
                <w:rPr>
                  <w:rFonts w:ascii="Cambria Math" w:hAnsi="Cambria Math"/>
                </w:rPr>
                <m:t>=</m:t>
              </m:r>
              <m:d>
                <m:dPr>
                  <m:begChr m:val="["/>
                  <m:endChr m:val="]"/>
                  <m:ctrlPr>
                    <w:rPr>
                      <w:rFonts w:ascii="Cambria Math" w:hAnsi="Cambria Math"/>
                    </w:rPr>
                  </m:ctrlPr>
                </m:dPr>
                <m:e>
                  <m:d>
                    <m:dPr>
                      <m:ctrlPr>
                        <w:rPr>
                          <w:rFonts w:ascii="Cambria Math" w:hAnsi="Cambria Math"/>
                        </w:rPr>
                      </m:ctrlPr>
                    </m:dPr>
                    <m:e>
                      <m:sSub>
                        <m:sSubPr>
                          <m:ctrlPr>
                            <w:rPr>
                              <w:rFonts w:ascii="Cambria Math" w:hAnsi="Cambria Math"/>
                            </w:rPr>
                          </m:ctrlPr>
                        </m:sSubPr>
                        <m:e>
                          <m:f>
                            <m:fPr>
                              <m:ctrlPr>
                                <w:rPr>
                                  <w:rFonts w:ascii="Cambria Math" w:hAnsi="Cambria Math"/>
                                  <w:i/>
                                </w:rPr>
                              </m:ctrlPr>
                            </m:fPr>
                            <m:num>
                              <m:sSubSup>
                                <m:sSubSupPr>
                                  <m:ctrlPr>
                                    <w:rPr>
                                      <w:rFonts w:ascii="Cambria Math" w:hAnsi="Cambria Math"/>
                                      <w:i/>
                                    </w:rPr>
                                  </m:ctrlPr>
                                </m:sSubSupPr>
                                <m:e>
                                  <m:r>
                                    <w:rPr>
                                      <w:rFonts w:ascii="Cambria Math" w:hAnsi="Cambria Math"/>
                                    </w:rPr>
                                    <m:t>γ</m:t>
                                  </m:r>
                                </m:e>
                                <m:sub>
                                  <m:r>
                                    <m:rPr>
                                      <m:sty m:val="p"/>
                                    </m:rPr>
                                    <w:rPr>
                                      <w:rFonts w:ascii="Cambria Math" w:hAnsi="Cambria Math"/>
                                    </w:rPr>
                                    <m:t>CaO</m:t>
                                  </m:r>
                                </m:sub>
                                <m:sup>
                                  <m:r>
                                    <w:rPr>
                                      <w:rFonts w:ascii="Cambria Math" w:hAnsi="Cambria Math"/>
                                    </w:rPr>
                                    <m:t>m</m:t>
                                  </m:r>
                                </m:sup>
                              </m:sSubSup>
                            </m:num>
                            <m:den>
                              <m:sSubSup>
                                <m:sSubSupPr>
                                  <m:ctrlPr>
                                    <w:rPr>
                                      <w:rFonts w:ascii="Cambria Math" w:hAnsi="Cambria Math"/>
                                      <w:i/>
                                    </w:rPr>
                                  </m:ctrlPr>
                                </m:sSubSupPr>
                                <m:e>
                                  <m:r>
                                    <w:rPr>
                                      <w:rFonts w:ascii="Cambria Math" w:hAnsi="Cambria Math"/>
                                    </w:rPr>
                                    <m:t>γ</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den>
                          </m:f>
                          <m:r>
                            <w:rPr>
                              <w:rFonts w:ascii="Cambria Math" w:hAnsi="Cambria Math"/>
                            </w:rPr>
                            <m:t>K</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e>
                  </m:d>
                  <m:sSubSup>
                    <m:sSubSupPr>
                      <m:ctrlPr>
                        <w:rPr>
                          <w:rFonts w:ascii="Cambria Math" w:hAnsi="Cambria Math"/>
                          <w:i/>
                        </w:rPr>
                      </m:ctrlPr>
                    </m:sSubSupPr>
                    <m:e>
                      <m:r>
                        <w:rPr>
                          <w:rFonts w:ascii="Cambria Math" w:hAnsi="Cambria Math"/>
                        </w:rPr>
                        <m:t>x</m:t>
                      </m:r>
                    </m:e>
                    <m:sub>
                      <m:r>
                        <m:rPr>
                          <m:sty m:val="p"/>
                        </m:rPr>
                        <w:rPr>
                          <w:rFonts w:ascii="Cambria Math" w:hAnsi="Cambria Math"/>
                        </w:rPr>
                        <m:t>CaO</m:t>
                      </m:r>
                    </m:sub>
                    <m:sup>
                      <m:r>
                        <w:rPr>
                          <w:rFonts w:ascii="Cambria Math" w:hAnsi="Cambria Math"/>
                        </w:rPr>
                        <m:t>m</m:t>
                      </m:r>
                    </m:sup>
                  </m:sSubSup>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b>
                <m:sSubPr>
                  <m:ctrlPr>
                    <w:rPr>
                      <w:rFonts w:ascii="Cambria Math" w:hAnsi="Cambria Math"/>
                      <w:i/>
                    </w:rPr>
                  </m:ctrlPr>
                </m:sSubPr>
                <m:e>
                  <m:r>
                    <w:rPr>
                      <w:rFonts w:ascii="Cambria Math" w:hAnsi="Cambria Math"/>
                    </w:rPr>
                    <m:t>C</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 #</m:t>
              </m:r>
              <m:d>
                <m:dPr>
                  <m:ctrlPr>
                    <w:rPr>
                      <w:rFonts w:ascii="Cambria Math" w:hAnsi="Cambria Math"/>
                      <w:i/>
                    </w:rPr>
                  </m:ctrlPr>
                </m:dPr>
                <m:e>
                  <m:r>
                    <m:rPr>
                      <m:sty m:val="p"/>
                    </m:rPr>
                    <w:rPr>
                      <w:rFonts w:ascii="Cambria Math" w:hAnsi="Cambria Math"/>
                    </w:rPr>
                    <m:t>S45</m:t>
                  </m:r>
                  <m:ctrlPr>
                    <w:rPr>
                      <w:rFonts w:ascii="Cambria Math" w:hAnsi="Cambria Math"/>
                    </w:rPr>
                  </m:ctrlPr>
                </m:e>
              </m:d>
            </m:e>
          </m:eqArr>
        </m:oMath>
      </m:oMathPara>
    </w:p>
    <w:p w14:paraId="1996729F" w14:textId="0B0B2392" w:rsidR="001054A1" w:rsidRPr="001054A1" w:rsidRDefault="001054A1" w:rsidP="001054A1">
      <w:pPr>
        <w:pStyle w:val="NoSpacing"/>
        <w:jc w:val="both"/>
        <w:rPr>
          <w:rFonts w:ascii="Times New Roman" w:hAnsi="Times New Roman"/>
        </w:rPr>
      </w:pPr>
      <w:r w:rsidRPr="001054A1">
        <w:rPr>
          <w:rFonts w:ascii="Times New Roman" w:hAnsi="Times New Roman"/>
        </w:rPr>
        <w:t xml:space="preserve">where </w:t>
      </w:r>
      <w:r w:rsidR="0096460B" w:rsidRPr="0096460B">
        <w:rPr>
          <w:rFonts w:ascii="Times New Roman" w:hAnsi="Times New Roman"/>
          <w:i/>
          <w:iCs/>
        </w:rPr>
        <w:t>C</w:t>
      </w:r>
      <w:r w:rsidR="0096460B" w:rsidRPr="0096460B">
        <w:rPr>
          <w:rFonts w:ascii="Times New Roman" w:hAnsi="Times New Roman"/>
          <w:vertAlign w:val="subscript"/>
        </w:rPr>
        <w:t>CaSO4</w:t>
      </w:r>
      <w:r w:rsidRPr="001054A1">
        <w:rPr>
          <w:rFonts w:ascii="Times New Roman" w:hAnsi="Times New Roman"/>
        </w:rPr>
        <w:t xml:space="preserve"> (equivalent to the term in [] brackets) is the </w:t>
      </w:r>
      <w:proofErr w:type="spellStart"/>
      <w:r w:rsidRPr="001054A1">
        <w:rPr>
          <w:rFonts w:ascii="Times New Roman" w:hAnsi="Times New Roman"/>
        </w:rPr>
        <w:t>sulfate</w:t>
      </w:r>
      <w:proofErr w:type="spellEnd"/>
      <w:r w:rsidRPr="001054A1">
        <w:rPr>
          <w:rFonts w:ascii="Times New Roman" w:hAnsi="Times New Roman"/>
        </w:rPr>
        <w:t xml:space="preserve"> capacity for Ca</w:t>
      </w:r>
      <w:r w:rsidRPr="001054A1">
        <w:rPr>
          <w:rFonts w:ascii="Times New Roman" w:hAnsi="Times New Roman"/>
          <w:vertAlign w:val="superscript"/>
        </w:rPr>
        <w:t>2+</w:t>
      </w:r>
      <w:r w:rsidRPr="001054A1">
        <w:rPr>
          <w:rFonts w:ascii="Times New Roman" w:hAnsi="Times New Roman"/>
        </w:rPr>
        <w:t xml:space="preserve">, which we could simplify further if we assume melt species mix ideally (i.e., </w:t>
      </w:r>
      <w:proofErr w:type="spellStart"/>
      <w:r w:rsidR="0096460B" w:rsidRPr="00B67966">
        <w:rPr>
          <w:rFonts w:ascii="Times New Roman" w:hAnsi="Times New Roman"/>
          <w:i/>
          <w:iCs/>
          <w:color w:val="000000" w:themeColor="text1"/>
        </w:rPr>
        <w:t>γ</w:t>
      </w:r>
      <w:r w:rsidR="0096460B" w:rsidRPr="00FD2F77">
        <w:rPr>
          <w:rFonts w:ascii="Times New Roman" w:hAnsi="Times New Roman"/>
          <w:i/>
          <w:iCs/>
          <w:color w:val="000000" w:themeColor="text1"/>
          <w:vertAlign w:val="superscript"/>
        </w:rPr>
        <w:t>m</w:t>
      </w:r>
      <w:r w:rsidR="0096460B">
        <w:rPr>
          <w:rFonts w:ascii="Times New Roman" w:hAnsi="Times New Roman"/>
          <w:i/>
          <w:iCs/>
          <w:color w:val="000000" w:themeColor="text1"/>
          <w:vertAlign w:val="subscript"/>
        </w:rPr>
        <w:t>i</w:t>
      </w:r>
      <w:proofErr w:type="spellEnd"/>
      <w:r w:rsidR="0096460B" w:rsidRPr="00150BDA">
        <w:rPr>
          <w:rFonts w:ascii="Times New Roman" w:hAnsi="Times New Roman"/>
          <w:i/>
          <w:iCs/>
          <w:color w:val="000000" w:themeColor="text1"/>
        </w:rPr>
        <w:t xml:space="preserve"> </w:t>
      </w:r>
      <w:r w:rsidR="0096460B" w:rsidRPr="0096460B">
        <w:rPr>
          <w:rFonts w:ascii="Times New Roman" w:hAnsi="Times New Roman"/>
          <w:color w:val="000000" w:themeColor="text1"/>
        </w:rPr>
        <w:t>= 1</w:t>
      </w:r>
      <w:r w:rsidRPr="001054A1">
        <w:rPr>
          <w:rFonts w:ascii="Times New Roman" w:hAnsi="Times New Roman"/>
        </w:rPr>
        <w:t xml:space="preserve">). As </w:t>
      </w:r>
      <w:r w:rsidR="00D66D9A">
        <w:rPr>
          <w:rFonts w:ascii="Times New Roman" w:hAnsi="Times New Roman"/>
        </w:rPr>
        <w:t>with</w:t>
      </w:r>
      <w:r w:rsidR="00D66D9A" w:rsidRPr="001054A1">
        <w:rPr>
          <w:rFonts w:ascii="Times New Roman" w:hAnsi="Times New Roman"/>
        </w:rPr>
        <w:t xml:space="preserve"> </w:t>
      </w:r>
      <w:proofErr w:type="spellStart"/>
      <w:r w:rsidR="0096460B" w:rsidRPr="001054A1">
        <w:rPr>
          <w:rFonts w:ascii="Times New Roman" w:hAnsi="Times New Roman"/>
        </w:rPr>
        <w:t>sul</w:t>
      </w:r>
      <w:r w:rsidR="0096460B">
        <w:rPr>
          <w:rFonts w:ascii="Times New Roman" w:hAnsi="Times New Roman"/>
        </w:rPr>
        <w:t>f</w:t>
      </w:r>
      <w:r w:rsidR="0096460B" w:rsidRPr="001054A1">
        <w:rPr>
          <w:rFonts w:ascii="Times New Roman" w:hAnsi="Times New Roman"/>
        </w:rPr>
        <w:t>ide</w:t>
      </w:r>
      <w:proofErr w:type="spellEnd"/>
      <w:r w:rsidR="0096460B" w:rsidRPr="001054A1">
        <w:rPr>
          <w:rFonts w:ascii="Times New Roman" w:hAnsi="Times New Roman"/>
        </w:rPr>
        <w:t xml:space="preserve"> </w:t>
      </w:r>
      <w:r w:rsidRPr="001054A1">
        <w:rPr>
          <w:rFonts w:ascii="Times New Roman" w:hAnsi="Times New Roman"/>
        </w:rPr>
        <w:t xml:space="preserve">capacity, this can be extended to all oxide components and their associated </w:t>
      </w:r>
      <w:proofErr w:type="spellStart"/>
      <w:r w:rsidRPr="001054A1">
        <w:rPr>
          <w:rFonts w:ascii="Times New Roman" w:hAnsi="Times New Roman"/>
        </w:rPr>
        <w:t>sul</w:t>
      </w:r>
      <w:r w:rsidR="008D4EA7">
        <w:rPr>
          <w:rFonts w:ascii="Times New Roman" w:hAnsi="Times New Roman"/>
        </w:rPr>
        <w:t>f</w:t>
      </w:r>
      <w:r w:rsidRPr="001054A1">
        <w:rPr>
          <w:rFonts w:ascii="Times New Roman" w:hAnsi="Times New Roman"/>
        </w:rPr>
        <w:t>ate</w:t>
      </w:r>
      <w:proofErr w:type="spellEnd"/>
      <w:r w:rsidRPr="001054A1">
        <w:rPr>
          <w:rFonts w:ascii="Times New Roman" w:hAnsi="Times New Roman"/>
        </w:rPr>
        <w:t xml:space="preserve"> species in the silicate melt (e.g., Na</w:t>
      </w:r>
      <w:r w:rsidRPr="001054A1">
        <w:rPr>
          <w:rFonts w:ascii="Times New Roman" w:hAnsi="Times New Roman"/>
          <w:vertAlign w:val="subscript"/>
        </w:rPr>
        <w:t>2</w:t>
      </w:r>
      <w:r w:rsidRPr="001054A1">
        <w:rPr>
          <w:rFonts w:ascii="Times New Roman" w:hAnsi="Times New Roman"/>
        </w:rPr>
        <w:t xml:space="preserve">O </w:t>
      </w:r>
      <w:r w:rsidRPr="001054A1">
        <w:rPr>
          <w:rFonts w:ascii="Times New Roman" w:hAnsi="Times New Roman"/>
        </w:rPr>
        <w:sym w:font="Symbol" w:char="F0AE"/>
      </w:r>
      <w:r w:rsidRPr="001054A1">
        <w:rPr>
          <w:rFonts w:ascii="Times New Roman" w:hAnsi="Times New Roman"/>
        </w:rPr>
        <w:t xml:space="preserve"> Na</w:t>
      </w:r>
      <w:r w:rsidRPr="001054A1">
        <w:rPr>
          <w:rFonts w:ascii="Times New Roman" w:hAnsi="Times New Roman"/>
          <w:vertAlign w:val="subscript"/>
        </w:rPr>
        <w:t>2</w:t>
      </w:r>
      <w:r w:rsidRPr="001054A1">
        <w:rPr>
          <w:rFonts w:ascii="Times New Roman" w:hAnsi="Times New Roman"/>
        </w:rPr>
        <w:t>SO</w:t>
      </w:r>
      <w:r w:rsidRPr="001054A1">
        <w:rPr>
          <w:rFonts w:ascii="Times New Roman" w:hAnsi="Times New Roman"/>
          <w:vertAlign w:val="subscript"/>
        </w:rPr>
        <w:t>4</w:t>
      </w:r>
      <w:r w:rsidRPr="001054A1">
        <w:rPr>
          <w:rFonts w:ascii="Times New Roman" w:hAnsi="Times New Roman"/>
        </w:rPr>
        <w:t xml:space="preserve">, etc.) to calculate the total concentration of </w:t>
      </w:r>
      <w:proofErr w:type="spellStart"/>
      <w:r w:rsidRPr="001054A1">
        <w:rPr>
          <w:rFonts w:ascii="Times New Roman" w:hAnsi="Times New Roman"/>
        </w:rPr>
        <w:t>sulfate</w:t>
      </w:r>
      <w:proofErr w:type="spellEnd"/>
      <w:r w:rsidRPr="001054A1">
        <w:rPr>
          <w:rFonts w:ascii="Times New Roman" w:hAnsi="Times New Roman"/>
        </w:rPr>
        <w:t xml:space="preserve"> dissolved in the silicate melt. Assuming the melt species behave ideally (</w:t>
      </w:r>
      <w:proofErr w:type="spellStart"/>
      <w:r w:rsidR="0096460B" w:rsidRPr="00B67966">
        <w:rPr>
          <w:rFonts w:ascii="Times New Roman" w:hAnsi="Times New Roman"/>
          <w:i/>
          <w:iCs/>
          <w:color w:val="000000" w:themeColor="text1"/>
        </w:rPr>
        <w:t>γ</w:t>
      </w:r>
      <w:r w:rsidR="0096460B" w:rsidRPr="00FD2F77">
        <w:rPr>
          <w:rFonts w:ascii="Times New Roman" w:hAnsi="Times New Roman"/>
          <w:i/>
          <w:iCs/>
          <w:color w:val="000000" w:themeColor="text1"/>
          <w:vertAlign w:val="superscript"/>
        </w:rPr>
        <w:t>m</w:t>
      </w:r>
      <w:r w:rsidR="0096460B">
        <w:rPr>
          <w:rFonts w:ascii="Times New Roman" w:hAnsi="Times New Roman"/>
          <w:i/>
          <w:iCs/>
          <w:color w:val="000000" w:themeColor="text1"/>
          <w:vertAlign w:val="subscript"/>
        </w:rPr>
        <w:t>i</w:t>
      </w:r>
      <w:proofErr w:type="spellEnd"/>
      <w:r w:rsidR="0096460B" w:rsidRPr="00150BDA">
        <w:rPr>
          <w:rFonts w:ascii="Times New Roman" w:hAnsi="Times New Roman"/>
          <w:i/>
          <w:iCs/>
          <w:color w:val="000000" w:themeColor="text1"/>
        </w:rPr>
        <w:t xml:space="preserve"> </w:t>
      </w:r>
      <w:r w:rsidR="0096460B" w:rsidRPr="0096460B">
        <w:rPr>
          <w:rFonts w:ascii="Times New Roman" w:hAnsi="Times New Roman"/>
          <w:color w:val="000000" w:themeColor="text1"/>
        </w:rPr>
        <w:t>= 1</w:t>
      </w:r>
      <w:r w:rsidRPr="001054A1">
        <w:rPr>
          <w:rFonts w:ascii="Times New Roman" w:hAnsi="Times New Roman"/>
        </w:rPr>
        <w:t xml:space="preserve">) gives: </w:t>
      </w:r>
    </w:p>
    <w:p w14:paraId="3BB7ECAB" w14:textId="10DA88DF" w:rsidR="001054A1" w:rsidRPr="001054A1" w:rsidRDefault="00063B50" w:rsidP="001054A1">
      <w:pPr>
        <w:pStyle w:val="equation"/>
        <w:rPr>
          <w:rFonts w:ascii="Times New Roman" w:hAnsi="Times New Roman"/>
          <w:i/>
        </w:rPr>
      </w:pPr>
      <m:oMathPara>
        <m:oMath>
          <m:eqArr>
            <m:eqArrPr>
              <m:maxDist m:val="1"/>
              <m:ctrlPr>
                <w:rPr>
                  <w:rFonts w:ascii="Cambria Math" w:hAnsi="Cambria Math"/>
                  <w:i/>
                </w:rPr>
              </m:ctrlPr>
            </m:eqArrPr>
            <m:e>
              <m:sSubSup>
                <m:sSubSupPr>
                  <m:ctrlPr>
                    <w:rPr>
                      <w:rFonts w:ascii="Cambria Math" w:hAnsi="Cambria Math"/>
                    </w:rPr>
                  </m:ctrlPr>
                </m:sSubSupPr>
                <m:e>
                  <m:r>
                    <w:rPr>
                      <w:rFonts w:ascii="Cambria Math" w:hAnsi="Cambria Math"/>
                    </w:rPr>
                    <m:t>w</m:t>
                  </m:r>
                </m:e>
                <m:sub>
                  <m:r>
                    <m:rPr>
                      <m:sty m:val="p"/>
                    </m:rPr>
                    <w:rPr>
                      <w:rFonts w:ascii="Cambria Math" w:hAnsi="Cambria Math"/>
                    </w:rPr>
                    <m:t>S</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4</m:t>
                      </m:r>
                    </m:sub>
                    <m:sup>
                      <m:r>
                        <m:rPr>
                          <m:sty m:val="p"/>
                        </m:rPr>
                        <w:rPr>
                          <w:rFonts w:ascii="Cambria Math" w:hAnsi="Cambria Math"/>
                        </w:rPr>
                        <m:t>2-</m:t>
                      </m:r>
                    </m:sup>
                  </m:sSubSup>
                </m:sub>
                <m:sup>
                  <m:r>
                    <w:rPr>
                      <w:rFonts w:ascii="Cambria Math" w:hAnsi="Cambria Math"/>
                    </w:rPr>
                    <m:t>m</m:t>
                  </m:r>
                </m:sup>
              </m:sSubSup>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Sup>
                    <m:sSubSupPr>
                      <m:ctrlPr>
                        <w:rPr>
                          <w:rFonts w:ascii="Cambria Math" w:hAnsi="Cambria Math"/>
                        </w:rPr>
                      </m:ctrlPr>
                    </m:sSubSupPr>
                    <m:e>
                      <m:r>
                        <w:rPr>
                          <w:rFonts w:ascii="Cambria Math" w:hAnsi="Cambria Math"/>
                        </w:rPr>
                        <m:t>x</m:t>
                      </m:r>
                    </m:e>
                    <m:sub>
                      <m:sSubSup>
                        <m:sSubSupPr>
                          <m:ctrlPr>
                            <w:rPr>
                              <w:rFonts w:ascii="Cambria Math" w:hAnsi="Cambria Math"/>
                            </w:rPr>
                          </m:ctrlPr>
                        </m:sSubSupPr>
                        <m:e>
                          <m:r>
                            <w:rPr>
                              <w:rFonts w:ascii="Cambria Math" w:hAnsi="Cambria Math"/>
                            </w:rPr>
                            <m:t>M</m:t>
                          </m:r>
                        </m:e>
                        <m:sub>
                          <m:f>
                            <m:fPr>
                              <m:type m:val="lin"/>
                              <m:ctrlPr>
                                <w:rPr>
                                  <w:rFonts w:ascii="Cambria Math" w:hAnsi="Cambria Math"/>
                                  <w:i/>
                                </w:rPr>
                              </m:ctrlPr>
                            </m:fPr>
                            <m:num>
                              <m:r>
                                <w:rPr>
                                  <w:rFonts w:ascii="Cambria Math" w:hAnsi="Cambria Math"/>
                                </w:rPr>
                                <m:t>z</m:t>
                              </m:r>
                            </m:num>
                            <m:den>
                              <m:r>
                                <w:rPr>
                                  <w:rFonts w:ascii="Cambria Math" w:hAnsi="Cambria Math"/>
                                </w:rPr>
                                <m:t>2</m:t>
                              </m:r>
                            </m:den>
                          </m:f>
                        </m:sub>
                        <m:sup>
                          <m:r>
                            <w:rPr>
                              <w:rFonts w:ascii="Cambria Math" w:hAnsi="Cambria Math"/>
                            </w:rPr>
                            <m:t>z+</m:t>
                          </m:r>
                        </m:sup>
                      </m:sSubSup>
                      <m:r>
                        <m:rPr>
                          <m:sty m:val="p"/>
                        </m:rPr>
                        <w:rPr>
                          <w:rFonts w:ascii="Cambria Math" w:hAnsi="Cambria Math"/>
                        </w:rPr>
                        <m:t>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up>
                      <m:r>
                        <w:rPr>
                          <w:rFonts w:ascii="Cambria Math" w:hAnsi="Cambria Math"/>
                        </w:rPr>
                        <m:t>m</m:t>
                      </m:r>
                    </m:sup>
                  </m:sSubSup>
                </m:e>
              </m:nary>
            </m:e>
            <m:e>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sSubSup>
                    <m:sSubSupPr>
                      <m:ctrlPr>
                        <w:rPr>
                          <w:rFonts w:ascii="Cambria Math" w:hAnsi="Cambria Math"/>
                          <w:i/>
                        </w:rPr>
                      </m:ctrlPr>
                    </m:sSubSupPr>
                    <m:e>
                      <m:r>
                        <w:rPr>
                          <w:rFonts w:ascii="Cambria Math" w:hAnsi="Cambria Math"/>
                        </w:rPr>
                        <m:t>x</m:t>
                      </m:r>
                    </m:e>
                    <m:sub>
                      <m:r>
                        <m:rPr>
                          <m:sty m:val="p"/>
                        </m:rPr>
                        <w:rPr>
                          <w:rFonts w:ascii="Cambria Math" w:hAnsi="Cambria Math"/>
                        </w:rPr>
                        <m:t>CaO</m:t>
                      </m:r>
                    </m:sub>
                    <m:sup>
                      <m:r>
                        <w:rPr>
                          <w:rFonts w:ascii="Cambria Math" w:hAnsi="Cambria Math"/>
                        </w:rPr>
                        <m:t>m</m:t>
                      </m:r>
                    </m:sup>
                  </m:sSubSup>
                  <m:r>
                    <w:rPr>
                      <w:rFonts w:ascii="Cambria Math" w:hAnsi="Cambria Math"/>
                    </w:rPr>
                    <m:t>+</m:t>
                  </m:r>
                  <m:sSub>
                    <m:sSubPr>
                      <m:ctrlPr>
                        <w:rPr>
                          <w:rFonts w:ascii="Cambria Math" w:hAnsi="Cambria Math"/>
                          <w:i/>
                        </w:rPr>
                      </m:ctrlPr>
                    </m:sSubPr>
                    <m:e>
                      <m:r>
                        <w:rPr>
                          <w:rFonts w:ascii="Cambria Math" w:hAnsi="Cambria Math"/>
                        </w:rPr>
                        <m:t>K</m:t>
                      </m:r>
                    </m:e>
                    <m:sub>
                      <m:sSub>
                        <m:sSubPr>
                          <m:ctrlPr>
                            <w:rPr>
                              <w:rFonts w:ascii="Cambria Math" w:hAnsi="Cambria Math"/>
                            </w:rPr>
                          </m:ctrlPr>
                        </m:sSubPr>
                        <m:e>
                          <m:r>
                            <m:rPr>
                              <m:sty m:val="p"/>
                            </m:rPr>
                            <w:rPr>
                              <w:rFonts w:ascii="Cambria Math" w:hAnsi="Cambria Math"/>
                            </w:rPr>
                            <m:t>Na</m:t>
                          </m:r>
                        </m:e>
                        <m:sub>
                          <m:r>
                            <m:rPr>
                              <m:sty m:val="p"/>
                            </m:rPr>
                            <w:rPr>
                              <w:rFonts w:ascii="Cambria Math" w:hAnsi="Cambria Math"/>
                            </w:rPr>
                            <m:t>2</m:t>
                          </m:r>
                        </m:sub>
                      </m:sSub>
                      <m:r>
                        <m:rPr>
                          <m:sty m:val="p"/>
                        </m:rPr>
                        <w:rPr>
                          <w:rFonts w:ascii="Cambria Math" w:hAnsi="Cambria Math"/>
                        </w:rPr>
                        <m:t>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sSubSup>
                    <m:sSubSupPr>
                      <m:ctrlPr>
                        <w:rPr>
                          <w:rFonts w:ascii="Cambria Math" w:hAnsi="Cambria Math"/>
                          <w:i/>
                        </w:rPr>
                      </m:ctrlPr>
                    </m:sSubSupPr>
                    <m:e>
                      <m:r>
                        <w:rPr>
                          <w:rFonts w:ascii="Cambria Math" w:hAnsi="Cambria Math"/>
                        </w:rPr>
                        <m:t>x</m:t>
                      </m:r>
                    </m:e>
                    <m:sub>
                      <m:sSub>
                        <m:sSubPr>
                          <m:ctrlPr>
                            <w:rPr>
                              <w:rFonts w:ascii="Cambria Math" w:hAnsi="Cambria Math"/>
                            </w:rPr>
                          </m:ctrlPr>
                        </m:sSubPr>
                        <m:e>
                          <m:r>
                            <m:rPr>
                              <m:sty m:val="p"/>
                            </m:rPr>
                            <w:rPr>
                              <w:rFonts w:ascii="Cambria Math" w:hAnsi="Cambria Math"/>
                            </w:rPr>
                            <m:t>Na</m:t>
                          </m:r>
                        </m:e>
                        <m:sub>
                          <m:r>
                            <m:rPr>
                              <m:sty m:val="p"/>
                            </m:rPr>
                            <w:rPr>
                              <w:rFonts w:ascii="Cambria Math" w:hAnsi="Cambria Math"/>
                            </w:rPr>
                            <m:t>2</m:t>
                          </m:r>
                        </m:sub>
                      </m:sSub>
                      <m:r>
                        <m:rPr>
                          <m:sty m:val="p"/>
                        </m:rPr>
                        <w:rPr>
                          <w:rFonts w:ascii="Cambria Math" w:hAnsi="Cambria Math"/>
                        </w:rPr>
                        <m:t>O</m:t>
                      </m:r>
                    </m:sub>
                    <m:sup>
                      <m:r>
                        <w:rPr>
                          <w:rFonts w:ascii="Cambria Math" w:hAnsi="Cambria Math"/>
                        </w:rPr>
                        <m:t>m</m:t>
                      </m:r>
                    </m:sup>
                  </m:sSubSup>
                  <m:r>
                    <w:rPr>
                      <w:rFonts w:ascii="Cambria Math" w:hAnsi="Cambria Math"/>
                    </w:rPr>
                    <m:t>+…</m:t>
                  </m:r>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e>
            <m:e>
              <m:r>
                <w:rPr>
                  <w:rFonts w:ascii="Cambria Math" w:hAnsi="Cambria Math"/>
                </w:rPr>
                <m:t>=</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C</m:t>
                      </m:r>
                    </m:e>
                    <m:sub>
                      <m:r>
                        <m:rPr>
                          <m:sty m:val="p"/>
                        </m:rPr>
                        <w:rPr>
                          <w:rFonts w:ascii="Cambria Math" w:hAnsi="Cambria Math"/>
                        </w:rPr>
                        <m:t>CaS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r>
                    <w:rPr>
                      <w:rFonts w:ascii="Cambria Math" w:hAnsi="Cambria Math"/>
                    </w:rPr>
                    <m:t>+</m:t>
                  </m:r>
                  <m:sSub>
                    <m:sSubPr>
                      <m:ctrlPr>
                        <w:rPr>
                          <w:rFonts w:ascii="Cambria Math" w:hAnsi="Cambria Math"/>
                          <w:i/>
                        </w:rPr>
                      </m:ctrlPr>
                    </m:sSubPr>
                    <m:e>
                      <m:r>
                        <w:rPr>
                          <w:rFonts w:ascii="Cambria Math" w:hAnsi="Cambria Math"/>
                        </w:rPr>
                        <m:t>C</m:t>
                      </m:r>
                    </m:e>
                    <m:sub>
                      <m:sSub>
                        <m:sSubPr>
                          <m:ctrlPr>
                            <w:rPr>
                              <w:rFonts w:ascii="Cambria Math" w:hAnsi="Cambria Math"/>
                            </w:rPr>
                          </m:ctrlPr>
                        </m:sSubPr>
                        <m:e>
                          <m:r>
                            <m:rPr>
                              <m:sty m:val="p"/>
                            </m:rPr>
                            <w:rPr>
                              <w:rFonts w:ascii="Cambria Math" w:hAnsi="Cambria Math"/>
                            </w:rPr>
                            <m:t>Na</m:t>
                          </m:r>
                        </m:e>
                        <m:sub>
                          <m:r>
                            <m:rPr>
                              <m:sty m:val="p"/>
                            </m:rPr>
                            <w:rPr>
                              <w:rFonts w:ascii="Cambria Math" w:hAnsi="Cambria Math"/>
                            </w:rPr>
                            <m:t>2</m:t>
                          </m:r>
                        </m:sub>
                      </m:sSub>
                      <m:r>
                        <m:rPr>
                          <m:sty m:val="p"/>
                        </m:rPr>
                        <w:rPr>
                          <w:rFonts w:ascii="Cambria Math" w:hAnsi="Cambria Math"/>
                        </w:rPr>
                        <m:t>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r>
                    <w:rPr>
                      <w:rFonts w:ascii="Cambria Math" w:hAnsi="Cambria Math"/>
                    </w:rPr>
                    <m:t>+…</m:t>
                  </m:r>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e>
            <m:e>
              <m:r>
                <w:rPr>
                  <w:rFonts w:ascii="Cambria Math" w:hAnsi="Cambria Math"/>
                </w:rPr>
                <m:t>=</m:t>
              </m:r>
              <m:d>
                <m:dPr>
                  <m:begChr m:val="["/>
                  <m:endChr m:val="]"/>
                  <m:ctrlPr>
                    <w:rPr>
                      <w:rFonts w:ascii="Cambria Math" w:hAnsi="Cambria Math"/>
                      <w:i/>
                    </w:rPr>
                  </m:ctrlPr>
                </m:dPr>
                <m:e>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C</m:t>
                          </m:r>
                        </m:e>
                        <m:sub>
                          <m:sSubSup>
                            <m:sSubSupPr>
                              <m:ctrlPr>
                                <w:rPr>
                                  <w:rFonts w:ascii="Cambria Math" w:hAnsi="Cambria Math"/>
                                </w:rPr>
                              </m:ctrlPr>
                            </m:sSubSupPr>
                            <m:e>
                              <m:r>
                                <w:rPr>
                                  <w:rFonts w:ascii="Cambria Math" w:hAnsi="Cambria Math"/>
                                </w:rPr>
                                <m:t>M</m:t>
                              </m:r>
                            </m:e>
                            <m:sub>
                              <m:f>
                                <m:fPr>
                                  <m:type m:val="lin"/>
                                  <m:ctrlPr>
                                    <w:rPr>
                                      <w:rFonts w:ascii="Cambria Math" w:hAnsi="Cambria Math"/>
                                      <w:i/>
                                    </w:rPr>
                                  </m:ctrlPr>
                                </m:fPr>
                                <m:num>
                                  <m:r>
                                    <w:rPr>
                                      <w:rFonts w:ascii="Cambria Math" w:hAnsi="Cambria Math"/>
                                    </w:rPr>
                                    <m:t>z</m:t>
                                  </m:r>
                                </m:num>
                                <m:den>
                                  <m:r>
                                    <w:rPr>
                                      <w:rFonts w:ascii="Cambria Math" w:hAnsi="Cambria Math"/>
                                    </w:rPr>
                                    <m:t>2</m:t>
                                  </m:r>
                                </m:den>
                              </m:f>
                            </m:sub>
                            <m:sup>
                              <m:r>
                                <w:rPr>
                                  <w:rFonts w:ascii="Cambria Math" w:hAnsi="Cambria Math"/>
                                </w:rPr>
                                <m:t>z+</m:t>
                              </m:r>
                            </m:sup>
                          </m:sSubSup>
                          <m:r>
                            <m:rPr>
                              <m:sty m:val="p"/>
                            </m:rPr>
                            <w:rPr>
                              <w:rFonts w:ascii="Cambria Math" w:hAnsi="Cambria Math"/>
                            </w:rPr>
                            <m:t>S</m:t>
                          </m:r>
                          <m:sSub>
                            <m:sSubPr>
                              <m:ctrlPr>
                                <w:rPr>
                                  <w:rFonts w:ascii="Cambria Math" w:hAnsi="Cambria Math"/>
                                </w:rPr>
                              </m:ctrlPr>
                            </m:sSubPr>
                            <m:e>
                              <m:r>
                                <m:rPr>
                                  <m:sty m:val="p"/>
                                </m:rPr>
                                <w:rPr>
                                  <w:rFonts w:ascii="Cambria Math" w:hAnsi="Cambria Math"/>
                                </w:rPr>
                                <m:t>O</m:t>
                              </m:r>
                            </m:e>
                            <m:sub>
                              <m:r>
                                <m:rPr>
                                  <m:sty m:val="p"/>
                                </m:rPr>
                                <w:rPr>
                                  <w:rFonts w:ascii="Cambria Math" w:hAnsi="Cambria Math"/>
                                </w:rPr>
                                <m:t>4</m:t>
                              </m:r>
                            </m:sub>
                          </m:sSub>
                        </m:sub>
                      </m:sSub>
                    </m:e>
                  </m:nary>
                </m:e>
              </m:d>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b>
                <m:sSubPr>
                  <m:ctrlPr>
                    <w:rPr>
                      <w:rFonts w:ascii="Cambria Math" w:hAnsi="Cambria Math"/>
                      <w:i/>
                    </w:rPr>
                  </m:ctrlPr>
                </m:sSubPr>
                <m:e>
                  <m:r>
                    <w:rPr>
                      <w:rFonts w:ascii="Cambria Math" w:hAnsi="Cambria Math"/>
                    </w:rPr>
                    <m:t>C</m:t>
                  </m:r>
                </m:e>
                <m:sub>
                  <m:r>
                    <m:rPr>
                      <m:sty m:val="p"/>
                    </m:rPr>
                    <w:rPr>
                      <w:rFonts w:ascii="Cambria Math" w:hAnsi="Cambria Math"/>
                    </w:rPr>
                    <m:t>S</m:t>
                  </m:r>
                  <m:sSubSup>
                    <m:sSubSupPr>
                      <m:ctrlPr>
                        <w:rPr>
                          <w:rFonts w:ascii="Cambria Math" w:hAnsi="Cambria Math"/>
                        </w:rPr>
                      </m:ctrlPr>
                    </m:sSubSupPr>
                    <m:e>
                      <m:r>
                        <m:rPr>
                          <m:sty m:val="p"/>
                        </m:rPr>
                        <w:rPr>
                          <w:rFonts w:ascii="Cambria Math" w:hAnsi="Cambria Math"/>
                        </w:rPr>
                        <m:t>O</m:t>
                      </m:r>
                    </m:e>
                    <m:sub>
                      <m:r>
                        <m:rPr>
                          <m:sty m:val="p"/>
                        </m:rPr>
                        <w:rPr>
                          <w:rFonts w:ascii="Cambria Math" w:hAnsi="Cambria Math"/>
                        </w:rPr>
                        <m:t>4</m:t>
                      </m:r>
                    </m:sub>
                    <m:sup>
                      <m:r>
                        <m:rPr>
                          <m:sty m:val="p"/>
                        </m:rPr>
                        <w:rPr>
                          <w:rFonts w:ascii="Cambria Math" w:hAnsi="Cambria Math"/>
                        </w:rPr>
                        <m:t>2-</m:t>
                      </m:r>
                    </m:sup>
                  </m:sSubSup>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S</m:t>
                              </m:r>
                            </m:e>
                            <m:sub>
                              <m:r>
                                <m:rPr>
                                  <m:sty m:val="p"/>
                                </m:rPr>
                                <w:rPr>
                                  <w:rFonts w:ascii="Cambria Math" w:hAnsi="Cambria Math"/>
                                </w:rPr>
                                <m:t>2</m:t>
                              </m:r>
                            </m:sub>
                          </m:sSub>
                        </m:sub>
                      </m:sSub>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O</m:t>
                                      </m:r>
                                    </m:e>
                                    <m:sub>
                                      <m:r>
                                        <m:rPr>
                                          <m:sty m:val="p"/>
                                        </m:rPr>
                                        <w:rPr>
                                          <w:rFonts w:ascii="Cambria Math" w:hAnsi="Cambria Math"/>
                                        </w:rPr>
                                        <m:t>2</m:t>
                                      </m:r>
                                    </m:sub>
                                  </m:sSub>
                                </m:sub>
                              </m:sSub>
                            </m:e>
                          </m:d>
                        </m:e>
                        <m:sup>
                          <m:r>
                            <w:rPr>
                              <w:rFonts w:ascii="Cambria Math" w:hAnsi="Cambria Math"/>
                            </w:rPr>
                            <m:t>3</m:t>
                          </m:r>
                        </m:sup>
                      </m:sSup>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 #</m:t>
              </m:r>
              <m:d>
                <m:dPr>
                  <m:ctrlPr>
                    <w:rPr>
                      <w:rFonts w:ascii="Cambria Math" w:hAnsi="Cambria Math"/>
                      <w:i/>
                    </w:rPr>
                  </m:ctrlPr>
                </m:dPr>
                <m:e>
                  <m:r>
                    <m:rPr>
                      <m:sty m:val="p"/>
                    </m:rPr>
                    <w:rPr>
                      <w:rFonts w:ascii="Cambria Math" w:hAnsi="Cambria Math"/>
                    </w:rPr>
                    <m:t>S46</m:t>
                  </m:r>
                  <m:ctrlPr>
                    <w:rPr>
                      <w:rFonts w:ascii="Cambria Math" w:hAnsi="Cambria Math"/>
                    </w:rPr>
                  </m:ctrlPr>
                </m:e>
              </m:d>
            </m:e>
          </m:eqArr>
        </m:oMath>
      </m:oMathPara>
    </w:p>
    <w:p w14:paraId="19FF2AB9" w14:textId="2AC18EE2" w:rsidR="001054A1" w:rsidRPr="001054A1" w:rsidRDefault="001054A1" w:rsidP="001054A1">
      <w:pPr>
        <w:pStyle w:val="NoSpacing"/>
        <w:jc w:val="both"/>
        <w:rPr>
          <w:rFonts w:ascii="Times New Roman" w:hAnsi="Times New Roman"/>
        </w:rPr>
      </w:pPr>
      <w:r w:rsidRPr="001054A1">
        <w:rPr>
          <w:rFonts w:ascii="Times New Roman" w:hAnsi="Times New Roman"/>
        </w:rPr>
        <w:t xml:space="preserve">Again, as described above for the </w:t>
      </w:r>
      <w:proofErr w:type="spellStart"/>
      <w:r w:rsidR="0096460B" w:rsidRPr="001054A1">
        <w:rPr>
          <w:rFonts w:ascii="Times New Roman" w:hAnsi="Times New Roman"/>
        </w:rPr>
        <w:t>sul</w:t>
      </w:r>
      <w:r w:rsidR="0096460B">
        <w:rPr>
          <w:rFonts w:ascii="Times New Roman" w:hAnsi="Times New Roman"/>
        </w:rPr>
        <w:t>f</w:t>
      </w:r>
      <w:r w:rsidR="0096460B" w:rsidRPr="001054A1">
        <w:rPr>
          <w:rFonts w:ascii="Times New Roman" w:hAnsi="Times New Roman"/>
        </w:rPr>
        <w:t>ide</w:t>
      </w:r>
      <w:proofErr w:type="spellEnd"/>
      <w:r w:rsidR="0096460B" w:rsidRPr="001054A1">
        <w:rPr>
          <w:rFonts w:ascii="Times New Roman" w:hAnsi="Times New Roman"/>
        </w:rPr>
        <w:t xml:space="preserve"> </w:t>
      </w:r>
      <w:r w:rsidRPr="001054A1">
        <w:rPr>
          <w:rFonts w:ascii="Times New Roman" w:hAnsi="Times New Roman"/>
        </w:rPr>
        <w:t xml:space="preserve">capacity, </w:t>
      </w:r>
      <w:r w:rsidR="0096460B" w:rsidRPr="0096460B">
        <w:rPr>
          <w:rFonts w:ascii="Times New Roman" w:hAnsi="Times New Roman"/>
          <w:i/>
          <w:iCs/>
        </w:rPr>
        <w:t>C</w:t>
      </w:r>
      <w:r w:rsidR="0096460B" w:rsidRPr="0096460B">
        <w:rPr>
          <w:rFonts w:ascii="Times New Roman" w:hAnsi="Times New Roman"/>
          <w:vertAlign w:val="subscript"/>
        </w:rPr>
        <w:t>SO42-</w:t>
      </w:r>
      <w:r w:rsidRPr="001054A1">
        <w:rPr>
          <w:rFonts w:ascii="Times New Roman" w:hAnsi="Times New Roman"/>
        </w:rPr>
        <w:t xml:space="preserve"> is a constant for a given melt composition, </w:t>
      </w:r>
      <w:r w:rsidRPr="001054A1">
        <w:rPr>
          <w:rFonts w:ascii="Times New Roman" w:hAnsi="Times New Roman"/>
          <w:i/>
          <w:iCs/>
        </w:rPr>
        <w:t>P</w:t>
      </w:r>
      <w:r w:rsidRPr="001054A1">
        <w:rPr>
          <w:rFonts w:ascii="Times New Roman" w:hAnsi="Times New Roman"/>
        </w:rPr>
        <w:t xml:space="preserve">, and </w:t>
      </w:r>
      <w:r w:rsidRPr="001054A1">
        <w:rPr>
          <w:rFonts w:ascii="Times New Roman" w:hAnsi="Times New Roman"/>
          <w:i/>
          <w:iCs/>
        </w:rPr>
        <w:t>T</w:t>
      </w:r>
      <w:r w:rsidRPr="001054A1">
        <w:rPr>
          <w:rFonts w:ascii="Times New Roman" w:hAnsi="Times New Roman"/>
        </w:rPr>
        <w:t>.</w:t>
      </w:r>
    </w:p>
    <w:p w14:paraId="6FEA050D" w14:textId="11ED9F14" w:rsidR="001054A1" w:rsidRPr="001054A1" w:rsidRDefault="001054A1" w:rsidP="00B22D0E">
      <w:pPr>
        <w:spacing w:after="245"/>
        <w:ind w:firstLine="720"/>
        <w:jc w:val="both"/>
        <w:rPr>
          <w:rFonts w:ascii="Times New Roman" w:hAnsi="Times New Roman" w:cs="Times New Roman"/>
        </w:rPr>
      </w:pPr>
      <w:r w:rsidRPr="001054A1">
        <w:rPr>
          <w:rFonts w:ascii="Times New Roman" w:hAnsi="Times New Roman" w:cs="Times New Roman"/>
        </w:rPr>
        <w:t xml:space="preserve">We adopt the parameterization of </w:t>
      </w:r>
      <w:r w:rsidR="0096460B" w:rsidRPr="0096460B">
        <w:rPr>
          <w:rFonts w:ascii="Times New Roman" w:hAnsi="Times New Roman" w:cs="Times New Roman"/>
          <w:i/>
          <w:iCs/>
        </w:rPr>
        <w:t>C</w:t>
      </w:r>
      <w:r w:rsidR="0096460B" w:rsidRPr="0096460B">
        <w:rPr>
          <w:rFonts w:ascii="Times New Roman" w:hAnsi="Times New Roman" w:cs="Times New Roman"/>
          <w:vertAlign w:val="subscript"/>
        </w:rPr>
        <w:t>S2-</w:t>
      </w:r>
      <w:r w:rsidRPr="001054A1">
        <w:rPr>
          <w:rFonts w:ascii="Times New Roman" w:hAnsi="Times New Roman" w:cs="Times New Roman"/>
        </w:rPr>
        <w:t xml:space="preserve"> from</w:t>
      </w:r>
      <w:r w:rsidR="000F0BD4">
        <w:rPr>
          <w:rFonts w:ascii="Times New Roman" w:hAnsi="Times New Roman" w:cs="Times New Roman"/>
        </w:rPr>
        <w:t xml:space="preserve"> </w:t>
      </w:r>
      <w:r w:rsidR="000F0BD4">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Basalts.","type":"chapter"},"uris":["http://www.mendeley.com/documents/?uuid=6f3ae3ca-6ecd-3137-8bfc-f37a8f3fea2a"]}],"mendeley":{"formattedCitation":"(O’Neill, 2021)","manualFormatting":"O’Neill (2021)","plainTextFormattedCitation":"(O’Neill, 2021)","previouslyFormattedCitation":"(O’Neill, 2021)"},"properties":{"noteIndex":0},"schema":"https://github.com/citation-style-language/schema/raw/master/csl-citation.json"}</w:instrText>
      </w:r>
      <w:r w:rsidR="000F0BD4">
        <w:rPr>
          <w:rFonts w:ascii="Times New Roman" w:hAnsi="Times New Roman" w:cs="Times New Roman"/>
        </w:rPr>
        <w:fldChar w:fldCharType="separate"/>
      </w:r>
      <w:r w:rsidR="000F0BD4" w:rsidRPr="000F0BD4">
        <w:rPr>
          <w:rFonts w:ascii="Times New Roman" w:hAnsi="Times New Roman" w:cs="Times New Roman"/>
          <w:noProof/>
        </w:rPr>
        <w:t xml:space="preserve">O’Neill </w:t>
      </w:r>
      <w:r w:rsidR="000F0BD4">
        <w:rPr>
          <w:rFonts w:ascii="Times New Roman" w:hAnsi="Times New Roman" w:cs="Times New Roman"/>
          <w:noProof/>
        </w:rPr>
        <w:t>(</w:t>
      </w:r>
      <w:r w:rsidR="000F0BD4" w:rsidRPr="000F0BD4">
        <w:rPr>
          <w:rFonts w:ascii="Times New Roman" w:hAnsi="Times New Roman" w:cs="Times New Roman"/>
          <w:noProof/>
        </w:rPr>
        <w:t>2021)</w:t>
      </w:r>
      <w:r w:rsidR="000F0BD4">
        <w:rPr>
          <w:rFonts w:ascii="Times New Roman" w:hAnsi="Times New Roman" w:cs="Times New Roman"/>
        </w:rPr>
        <w:fldChar w:fldCharType="end"/>
      </w:r>
      <w:r w:rsidRPr="001054A1">
        <w:rPr>
          <w:rFonts w:ascii="Times New Roman" w:hAnsi="Times New Roman" w:cs="Times New Roman"/>
        </w:rPr>
        <w:t xml:space="preserve">, which although more complex than a simple linear combination of mole fractions (as denoted in equation </w:t>
      </w:r>
      <w:r w:rsidR="000D5520">
        <w:rPr>
          <w:rFonts w:ascii="Times New Roman" w:hAnsi="Times New Roman" w:cs="Times New Roman"/>
        </w:rPr>
        <w:t>S</w:t>
      </w:r>
      <w:r w:rsidR="00D565F5">
        <w:rPr>
          <w:rFonts w:ascii="Times New Roman" w:hAnsi="Times New Roman" w:cs="Times New Roman"/>
          <w:color w:val="000000" w:themeColor="text1"/>
        </w:rPr>
        <w:t>4</w:t>
      </w:r>
      <w:r w:rsidR="00B22D0E">
        <w:rPr>
          <w:rFonts w:ascii="Times New Roman" w:hAnsi="Times New Roman" w:cs="Times New Roman"/>
          <w:color w:val="000000" w:themeColor="text1"/>
        </w:rPr>
        <w:t>2</w:t>
      </w:r>
      <w:r w:rsidRPr="001054A1">
        <w:rPr>
          <w:rFonts w:ascii="Times New Roman" w:hAnsi="Times New Roman" w:cs="Times New Roman"/>
        </w:rPr>
        <w:t xml:space="preserve">) – reflecting ultimately the complex dependence of the activity coefficients on </w:t>
      </w:r>
      <w:r w:rsidRPr="001054A1">
        <w:rPr>
          <w:rFonts w:ascii="Times New Roman" w:hAnsi="Times New Roman" w:cs="Times New Roman"/>
          <w:i/>
          <w:iCs/>
        </w:rPr>
        <w:t>T</w:t>
      </w:r>
      <w:r w:rsidRPr="001054A1">
        <w:rPr>
          <w:rFonts w:ascii="Times New Roman" w:hAnsi="Times New Roman" w:cs="Times New Roman"/>
        </w:rPr>
        <w:t xml:space="preserve"> and </w:t>
      </w:r>
      <w:proofErr w:type="spellStart"/>
      <w:r w:rsidR="0096460B" w:rsidRPr="0096460B">
        <w:rPr>
          <w:rFonts w:ascii="Times New Roman" w:eastAsiaTheme="minorEastAsia" w:hAnsi="Times New Roman" w:cs="Times New Roman"/>
          <w:i/>
          <w:iCs/>
        </w:rPr>
        <w:t>x</w:t>
      </w:r>
      <w:r w:rsidR="0096460B" w:rsidRPr="0096460B">
        <w:rPr>
          <w:rFonts w:ascii="Times New Roman" w:eastAsiaTheme="minorEastAsia" w:hAnsi="Times New Roman" w:cs="Times New Roman"/>
          <w:i/>
          <w:iCs/>
          <w:vertAlign w:val="superscript"/>
        </w:rPr>
        <w:t>m</w:t>
      </w:r>
      <w:r w:rsidR="0096460B" w:rsidRPr="0096460B">
        <w:rPr>
          <w:rFonts w:ascii="Times New Roman" w:eastAsiaTheme="minorEastAsia" w:hAnsi="Times New Roman" w:cs="Times New Roman"/>
          <w:i/>
          <w:iCs/>
          <w:vertAlign w:val="subscript"/>
        </w:rPr>
        <w:t>i</w:t>
      </w:r>
      <w:proofErr w:type="spellEnd"/>
      <w:r w:rsidRPr="001054A1">
        <w:rPr>
          <w:rFonts w:ascii="Times New Roman" w:hAnsi="Times New Roman" w:cs="Times New Roman"/>
        </w:rPr>
        <w:t xml:space="preserve"> – is well calibrated for </w:t>
      </w:r>
      <w:r w:rsidR="002059BA">
        <w:rPr>
          <w:rFonts w:ascii="Times New Roman" w:hAnsi="Times New Roman" w:cs="Times New Roman"/>
        </w:rPr>
        <w:t>silicate</w:t>
      </w:r>
      <w:r w:rsidR="002059BA" w:rsidRPr="001054A1">
        <w:rPr>
          <w:rFonts w:ascii="Times New Roman" w:hAnsi="Times New Roman" w:cs="Times New Roman"/>
        </w:rPr>
        <w:t xml:space="preserve"> </w:t>
      </w:r>
      <w:r w:rsidRPr="001054A1">
        <w:rPr>
          <w:rFonts w:ascii="Times New Roman" w:hAnsi="Times New Roman" w:cs="Times New Roman"/>
        </w:rPr>
        <w:t xml:space="preserve">compositions. Although </w:t>
      </w:r>
      <w:r w:rsidR="000F0BD4">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Basalts.","type":"chapter"},"uris":["http://www.mendeley.com/documents/?uuid=6f3ae3ca-6ecd-3137-8bfc-f37a8f3fea2a"]}],"mendeley":{"formattedCitation":"(O’Neill, 2021)","manualFormatting":"O’Neill (2021)","plainTextFormattedCitation":"(O’Neill, 2021)","previouslyFormattedCitation":"(O’Neill, 2021)"},"properties":{"noteIndex":0},"schema":"https://github.com/citation-style-language/schema/raw/master/csl-citation.json"}</w:instrText>
      </w:r>
      <w:r w:rsidR="000F0BD4">
        <w:rPr>
          <w:rFonts w:ascii="Times New Roman" w:hAnsi="Times New Roman" w:cs="Times New Roman"/>
        </w:rPr>
        <w:fldChar w:fldCharType="separate"/>
      </w:r>
      <w:r w:rsidR="000F0BD4" w:rsidRPr="000F0BD4">
        <w:rPr>
          <w:rFonts w:ascii="Times New Roman" w:hAnsi="Times New Roman" w:cs="Times New Roman"/>
          <w:noProof/>
        </w:rPr>
        <w:t xml:space="preserve">O’Neill </w:t>
      </w:r>
      <w:r w:rsidR="000F0BD4">
        <w:rPr>
          <w:rFonts w:ascii="Times New Roman" w:hAnsi="Times New Roman" w:cs="Times New Roman"/>
          <w:noProof/>
        </w:rPr>
        <w:t>(</w:t>
      </w:r>
      <w:r w:rsidR="000F0BD4" w:rsidRPr="000F0BD4">
        <w:rPr>
          <w:rFonts w:ascii="Times New Roman" w:hAnsi="Times New Roman" w:cs="Times New Roman"/>
          <w:noProof/>
        </w:rPr>
        <w:t>2021)</w:t>
      </w:r>
      <w:r w:rsidR="000F0BD4">
        <w:rPr>
          <w:rFonts w:ascii="Times New Roman" w:hAnsi="Times New Roman" w:cs="Times New Roman"/>
        </w:rPr>
        <w:fldChar w:fldCharType="end"/>
      </w:r>
      <w:r w:rsidRPr="001054A1">
        <w:rPr>
          <w:rFonts w:ascii="Times New Roman" w:hAnsi="Times New Roman" w:cs="Times New Roman"/>
        </w:rPr>
        <w:t xml:space="preserve"> includes the dependence of </w:t>
      </w:r>
      <w:r w:rsidRPr="001054A1">
        <w:rPr>
          <w:rFonts w:ascii="Times New Roman" w:hAnsi="Times New Roman" w:cs="Times New Roman"/>
          <w:i/>
          <w:iCs/>
        </w:rPr>
        <w:t>T</w:t>
      </w:r>
      <w:r w:rsidR="000129E6">
        <w:rPr>
          <w:rFonts w:ascii="Times New Roman" w:hAnsi="Times New Roman" w:cs="Times New Roman"/>
        </w:rPr>
        <w:t xml:space="preserve"> (based on data between 1200–1500 </w:t>
      </w:r>
      <w:r w:rsidR="000129E6" w:rsidRPr="00CC0D73">
        <w:rPr>
          <w:rFonts w:ascii="Times New Roman" w:hAnsi="Times New Roman" w:cs="Times New Roman"/>
        </w:rPr>
        <w:t>°C</w:t>
      </w:r>
      <w:r w:rsidR="000129E6">
        <w:rPr>
          <w:rFonts w:ascii="Times New Roman" w:hAnsi="Times New Roman" w:cs="Times New Roman"/>
        </w:rPr>
        <w:t>)</w:t>
      </w:r>
      <w:r w:rsidRPr="001054A1">
        <w:rPr>
          <w:rFonts w:ascii="Times New Roman" w:hAnsi="Times New Roman" w:cs="Times New Roman"/>
        </w:rPr>
        <w:t xml:space="preserve">, the parameterisation does not include a </w:t>
      </w:r>
      <w:r w:rsidRPr="001054A1">
        <w:rPr>
          <w:rFonts w:ascii="Times New Roman" w:hAnsi="Times New Roman" w:cs="Times New Roman"/>
          <w:i/>
          <w:iCs/>
        </w:rPr>
        <w:t>P</w:t>
      </w:r>
      <w:r w:rsidRPr="001054A1">
        <w:rPr>
          <w:rFonts w:ascii="Times New Roman" w:hAnsi="Times New Roman" w:cs="Times New Roman"/>
        </w:rPr>
        <w:t>-dependence because the experiments used to calibrate the parameterisation are typically conducted at one atmosphere. This parameterisation does include a term for the effect of H</w:t>
      </w:r>
      <w:r w:rsidRPr="001054A1">
        <w:rPr>
          <w:rFonts w:ascii="Times New Roman" w:hAnsi="Times New Roman" w:cs="Times New Roman"/>
          <w:vertAlign w:val="subscript"/>
        </w:rPr>
        <w:t>2</w:t>
      </w:r>
      <w:r w:rsidRPr="001054A1">
        <w:rPr>
          <w:rFonts w:ascii="Times New Roman" w:hAnsi="Times New Roman" w:cs="Times New Roman"/>
        </w:rPr>
        <w:t xml:space="preserve">O on </w:t>
      </w:r>
      <w:r w:rsidR="0096460B" w:rsidRPr="0096460B">
        <w:rPr>
          <w:rFonts w:ascii="Times New Roman" w:hAnsi="Times New Roman" w:cs="Times New Roman"/>
          <w:i/>
          <w:iCs/>
        </w:rPr>
        <w:t>C</w:t>
      </w:r>
      <w:r w:rsidR="0096460B" w:rsidRPr="0096460B">
        <w:rPr>
          <w:rFonts w:ascii="Times New Roman" w:hAnsi="Times New Roman" w:cs="Times New Roman"/>
          <w:vertAlign w:val="subscript"/>
        </w:rPr>
        <w:t>S2-</w:t>
      </w:r>
      <w:r w:rsidRPr="001054A1">
        <w:rPr>
          <w:rFonts w:ascii="Times New Roman" w:hAnsi="Times New Roman" w:cs="Times New Roman"/>
        </w:rPr>
        <w:t xml:space="preserve">, but </w:t>
      </w:r>
      <w:r w:rsidR="000F0BD4">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Basalts.","type":"chapter"},"uris":["http://www.mendeley.com/documents/?uuid=6f3ae3ca-6ecd-3137-8bfc-f37a8f3fea2a"]}],"mendeley":{"formattedCitation":"(O’Neill, 2021)","manualFormatting":"O’Neill (2021)","plainTextFormattedCitation":"(O’Neill, 2021)","previouslyFormattedCitation":"(O’Neill, 2021)"},"properties":{"noteIndex":0},"schema":"https://github.com/citation-style-language/schema/raw/master/csl-citation.json"}</w:instrText>
      </w:r>
      <w:r w:rsidR="000F0BD4">
        <w:rPr>
          <w:rFonts w:ascii="Times New Roman" w:hAnsi="Times New Roman" w:cs="Times New Roman"/>
        </w:rPr>
        <w:fldChar w:fldCharType="separate"/>
      </w:r>
      <w:r w:rsidR="000F0BD4" w:rsidRPr="000F0BD4">
        <w:rPr>
          <w:rFonts w:ascii="Times New Roman" w:hAnsi="Times New Roman" w:cs="Times New Roman"/>
          <w:noProof/>
        </w:rPr>
        <w:t xml:space="preserve">O’Neill </w:t>
      </w:r>
      <w:r w:rsidR="000F0BD4">
        <w:rPr>
          <w:rFonts w:ascii="Times New Roman" w:hAnsi="Times New Roman" w:cs="Times New Roman"/>
          <w:noProof/>
        </w:rPr>
        <w:t>(</w:t>
      </w:r>
      <w:r w:rsidR="000F0BD4" w:rsidRPr="000F0BD4">
        <w:rPr>
          <w:rFonts w:ascii="Times New Roman" w:hAnsi="Times New Roman" w:cs="Times New Roman"/>
          <w:noProof/>
        </w:rPr>
        <w:t>2021)</w:t>
      </w:r>
      <w:r w:rsidR="000F0BD4">
        <w:rPr>
          <w:rFonts w:ascii="Times New Roman" w:hAnsi="Times New Roman" w:cs="Times New Roman"/>
        </w:rPr>
        <w:fldChar w:fldCharType="end"/>
      </w:r>
      <w:r w:rsidR="000F0BD4">
        <w:rPr>
          <w:rFonts w:ascii="Times New Roman" w:hAnsi="Times New Roman" w:cs="Times New Roman"/>
        </w:rPr>
        <w:t xml:space="preserve"> </w:t>
      </w:r>
      <w:r w:rsidRPr="001054A1">
        <w:rPr>
          <w:rFonts w:ascii="Times New Roman" w:hAnsi="Times New Roman" w:cs="Times New Roman"/>
        </w:rPr>
        <w:t>emphasizes that the dataset used for its calibration is limited.</w:t>
      </w:r>
      <w:r w:rsidR="00457D60">
        <w:rPr>
          <w:rFonts w:ascii="Times New Roman" w:hAnsi="Times New Roman" w:cs="Times New Roman"/>
        </w:rPr>
        <w:t xml:space="preserve"> We instead model the effect of H</w:t>
      </w:r>
      <w:r w:rsidR="00457D60" w:rsidRPr="00457D60">
        <w:rPr>
          <w:rFonts w:ascii="Times New Roman" w:hAnsi="Times New Roman" w:cs="Times New Roman"/>
          <w:vertAlign w:val="subscript"/>
        </w:rPr>
        <w:t>2</w:t>
      </w:r>
      <w:r w:rsidR="00457D60">
        <w:rPr>
          <w:rFonts w:ascii="Times New Roman" w:hAnsi="Times New Roman" w:cs="Times New Roman"/>
        </w:rPr>
        <w:t>S using a separate H</w:t>
      </w:r>
      <w:r w:rsidR="00457D60" w:rsidRPr="00457D60">
        <w:rPr>
          <w:rFonts w:ascii="Times New Roman" w:hAnsi="Times New Roman" w:cs="Times New Roman"/>
          <w:vertAlign w:val="subscript"/>
        </w:rPr>
        <w:t>2</w:t>
      </w:r>
      <w:r w:rsidR="00457D60">
        <w:rPr>
          <w:rFonts w:ascii="Times New Roman" w:hAnsi="Times New Roman" w:cs="Times New Roman"/>
        </w:rPr>
        <w:t xml:space="preserve">S solubility mechanism detailed in </w:t>
      </w:r>
      <w:r w:rsidR="008355C9">
        <w:rPr>
          <w:rFonts w:ascii="Times New Roman" w:hAnsi="Times New Roman" w:cs="Times New Roman"/>
        </w:rPr>
        <w:t xml:space="preserve">Supplementary Material </w:t>
      </w:r>
      <w:r w:rsidR="00457D60">
        <w:rPr>
          <w:rFonts w:ascii="Times New Roman" w:hAnsi="Times New Roman" w:cs="Times New Roman"/>
        </w:rPr>
        <w:t>Section</w:t>
      </w:r>
      <w:r w:rsidR="00CF244A">
        <w:rPr>
          <w:rFonts w:ascii="Times New Roman" w:hAnsi="Times New Roman" w:cs="Times New Roman"/>
        </w:rPr>
        <w:t xml:space="preserve"> </w:t>
      </w:r>
      <w:r w:rsidR="00CF244A">
        <w:rPr>
          <w:rFonts w:ascii="Times New Roman" w:hAnsi="Times New Roman" w:cs="Times New Roman"/>
        </w:rPr>
        <w:fldChar w:fldCharType="begin"/>
      </w:r>
      <w:r w:rsidR="00CF244A">
        <w:rPr>
          <w:rFonts w:ascii="Times New Roman" w:hAnsi="Times New Roman" w:cs="Times New Roman"/>
        </w:rPr>
        <w:instrText xml:space="preserve"> REF _Ref109037120 \r \h </w:instrText>
      </w:r>
      <w:r w:rsidR="00CF244A">
        <w:rPr>
          <w:rFonts w:ascii="Times New Roman" w:hAnsi="Times New Roman" w:cs="Times New Roman"/>
        </w:rPr>
      </w:r>
      <w:r w:rsidR="00CF244A">
        <w:rPr>
          <w:rFonts w:ascii="Times New Roman" w:hAnsi="Times New Roman" w:cs="Times New Roman"/>
        </w:rPr>
        <w:fldChar w:fldCharType="separate"/>
      </w:r>
      <w:r w:rsidR="00D565F5">
        <w:rPr>
          <w:rFonts w:ascii="Times New Roman" w:hAnsi="Times New Roman" w:cs="Times New Roman"/>
        </w:rPr>
        <w:t>2.2.5</w:t>
      </w:r>
      <w:r w:rsidR="00CF244A">
        <w:rPr>
          <w:rFonts w:ascii="Times New Roman" w:hAnsi="Times New Roman" w:cs="Times New Roman"/>
        </w:rPr>
        <w:fldChar w:fldCharType="end"/>
      </w:r>
      <w:r w:rsidR="00CF244A" w:rsidRPr="00CF244A">
        <w:rPr>
          <w:rFonts w:ascii="Times New Roman" w:hAnsi="Times New Roman" w:cs="Times New Roman"/>
          <w:color w:val="000000" w:themeColor="text1"/>
        </w:rPr>
        <w:t>, but do include the effects of dilution</w:t>
      </w:r>
      <w:r w:rsidR="00D66D9A">
        <w:rPr>
          <w:rFonts w:ascii="Times New Roman" w:hAnsi="Times New Roman" w:cs="Times New Roman"/>
          <w:color w:val="000000" w:themeColor="text1"/>
        </w:rPr>
        <w:t xml:space="preserve"> by H</w:t>
      </w:r>
      <w:r w:rsidR="00D66D9A" w:rsidRPr="00D66D9A">
        <w:rPr>
          <w:rFonts w:ascii="Times New Roman" w:hAnsi="Times New Roman" w:cs="Times New Roman"/>
          <w:color w:val="000000" w:themeColor="text1"/>
          <w:vertAlign w:val="subscript"/>
        </w:rPr>
        <w:t>2</w:t>
      </w:r>
      <w:r w:rsidR="00D66D9A">
        <w:rPr>
          <w:rFonts w:ascii="Times New Roman" w:hAnsi="Times New Roman" w:cs="Times New Roman"/>
          <w:color w:val="000000" w:themeColor="text1"/>
        </w:rPr>
        <w:t>O on melt composition</w:t>
      </w:r>
      <w:r w:rsidR="00CF244A" w:rsidRPr="00CF244A">
        <w:rPr>
          <w:rFonts w:ascii="Times New Roman" w:hAnsi="Times New Roman" w:cs="Times New Roman"/>
          <w:color w:val="000000" w:themeColor="text1"/>
        </w:rPr>
        <w:t xml:space="preserve"> </w:t>
      </w:r>
      <w:r w:rsidR="00D66D9A">
        <w:rPr>
          <w:rFonts w:ascii="Times New Roman" w:hAnsi="Times New Roman" w:cs="Times New Roman"/>
          <w:color w:val="000000" w:themeColor="text1"/>
        </w:rPr>
        <w:t>i</w:t>
      </w:r>
      <w:r w:rsidR="00D66D9A" w:rsidRPr="00CF244A">
        <w:rPr>
          <w:rFonts w:ascii="Times New Roman" w:hAnsi="Times New Roman" w:cs="Times New Roman"/>
          <w:color w:val="000000" w:themeColor="text1"/>
        </w:rPr>
        <w:t xml:space="preserve">n </w:t>
      </w:r>
      <w:r w:rsidR="00CF244A" w:rsidRPr="00CF244A">
        <w:rPr>
          <w:rFonts w:ascii="Times New Roman" w:hAnsi="Times New Roman" w:cs="Times New Roman"/>
          <w:color w:val="000000" w:themeColor="text1"/>
        </w:rPr>
        <w:t>the</w:t>
      </w:r>
      <w:r w:rsidR="00CF244A" w:rsidRPr="00CF244A">
        <w:rPr>
          <w:rFonts w:ascii="Times New Roman" w:hAnsi="Times New Roman" w:cs="Times New Roman"/>
          <w:b/>
          <w:bCs/>
          <w:color w:val="000000" w:themeColor="text1"/>
        </w:rPr>
        <w:t xml:space="preserve"> </w:t>
      </w:r>
      <w:r w:rsidR="0096460B" w:rsidRPr="0096460B">
        <w:rPr>
          <w:rFonts w:ascii="Times New Roman" w:hAnsi="Times New Roman" w:cs="Times New Roman"/>
          <w:i/>
          <w:iCs/>
        </w:rPr>
        <w:t>C</w:t>
      </w:r>
      <w:r w:rsidR="0096460B" w:rsidRPr="0096460B">
        <w:rPr>
          <w:rFonts w:ascii="Times New Roman" w:hAnsi="Times New Roman" w:cs="Times New Roman"/>
          <w:i/>
          <w:iCs/>
          <w:vertAlign w:val="subscript"/>
        </w:rPr>
        <w:t>*</w:t>
      </w:r>
      <w:r w:rsidR="0096460B" w:rsidRPr="0096460B">
        <w:rPr>
          <w:rFonts w:ascii="Times New Roman" w:hAnsi="Times New Roman" w:cs="Times New Roman"/>
          <w:vertAlign w:val="subscript"/>
        </w:rPr>
        <w:t>S2-</w:t>
      </w:r>
      <w:r w:rsidR="00457D60">
        <w:rPr>
          <w:rFonts w:ascii="Times New Roman" w:hAnsi="Times New Roman" w:cs="Times New Roman"/>
        </w:rPr>
        <w:t>.</w:t>
      </w:r>
    </w:p>
    <w:p w14:paraId="5C737CE1" w14:textId="63E04DF3" w:rsidR="007E1BC2" w:rsidRPr="008E1AB0" w:rsidRDefault="00457D60" w:rsidP="0022237F">
      <w:pPr>
        <w:spacing w:after="240"/>
        <w:ind w:firstLine="720"/>
        <w:jc w:val="both"/>
        <w:rPr>
          <w:rFonts w:ascii="Times New Roman" w:hAnsi="Times New Roman" w:cs="Times New Roman"/>
        </w:rPr>
      </w:pPr>
      <w:r>
        <w:rPr>
          <w:rFonts w:ascii="Times New Roman" w:hAnsi="Times New Roman" w:cs="Times New Roman"/>
        </w:rPr>
        <w:t xml:space="preserve">When we began this work </w:t>
      </w:r>
      <w:r w:rsidR="001054A1" w:rsidRPr="001054A1">
        <w:rPr>
          <w:rFonts w:ascii="Times New Roman" w:hAnsi="Times New Roman" w:cs="Times New Roman"/>
        </w:rPr>
        <w:t>there ha</w:t>
      </w:r>
      <w:r>
        <w:rPr>
          <w:rFonts w:ascii="Times New Roman" w:hAnsi="Times New Roman" w:cs="Times New Roman"/>
        </w:rPr>
        <w:t>d</w:t>
      </w:r>
      <w:r w:rsidR="001054A1" w:rsidRPr="001054A1">
        <w:rPr>
          <w:rFonts w:ascii="Times New Roman" w:hAnsi="Times New Roman" w:cs="Times New Roman"/>
        </w:rPr>
        <w:t xml:space="preserve"> not been a similarly comprehensive treatment for </w:t>
      </w:r>
      <w:proofErr w:type="spellStart"/>
      <w:r w:rsidR="001054A1" w:rsidRPr="001054A1">
        <w:rPr>
          <w:rFonts w:ascii="Times New Roman" w:hAnsi="Times New Roman" w:cs="Times New Roman"/>
        </w:rPr>
        <w:t>sulfate</w:t>
      </w:r>
      <w:proofErr w:type="spellEnd"/>
      <w:r w:rsidR="001054A1" w:rsidRPr="001054A1">
        <w:rPr>
          <w:rFonts w:ascii="Times New Roman" w:hAnsi="Times New Roman" w:cs="Times New Roman"/>
        </w:rPr>
        <w:t xml:space="preserve"> capacity</w:t>
      </w:r>
      <w:r>
        <w:rPr>
          <w:rFonts w:ascii="Times New Roman" w:hAnsi="Times New Roman" w:cs="Times New Roman"/>
        </w:rPr>
        <w:t>.</w:t>
      </w:r>
      <w:r w:rsidR="001054A1" w:rsidRPr="001054A1">
        <w:rPr>
          <w:rFonts w:ascii="Times New Roman" w:hAnsi="Times New Roman" w:cs="Times New Roman"/>
        </w:rPr>
        <w:t xml:space="preserve"> </w:t>
      </w:r>
      <w:r w:rsidR="007E1BC2">
        <w:rPr>
          <w:rFonts w:ascii="Times New Roman" w:hAnsi="Times New Roman" w:cs="Times New Roman"/>
        </w:rPr>
        <w:t xml:space="preserve">Hence, we </w:t>
      </w:r>
      <w:r w:rsidR="001054A1" w:rsidRPr="001054A1">
        <w:rPr>
          <w:rFonts w:ascii="Times New Roman" w:hAnsi="Times New Roman" w:cs="Times New Roman"/>
        </w:rPr>
        <w:t>developed an expression from available literature data</w:t>
      </w:r>
      <w:r w:rsidR="007E1BC2">
        <w:rPr>
          <w:rFonts w:ascii="Times New Roman" w:hAnsi="Times New Roman" w:cs="Times New Roman"/>
        </w:rPr>
        <w:t>, as described in</w:t>
      </w:r>
      <w:r w:rsidR="000F0BD4">
        <w:rPr>
          <w:rFonts w:ascii="Times New Roman" w:hAnsi="Times New Roman" w:cs="Times New Roman"/>
        </w:rPr>
        <w:t xml:space="preserve"> </w:t>
      </w:r>
      <w:r w:rsidR="000F0BD4">
        <w:rPr>
          <w:rFonts w:ascii="Times New Roman" w:hAnsi="Times New Roman" w:cs="Times New Roman"/>
        </w:rPr>
        <w:fldChar w:fldCharType="begin" w:fldLock="1"/>
      </w:r>
      <w:r w:rsidR="003910EA">
        <w:rPr>
          <w:rFonts w:ascii="Times New Roman" w:hAnsi="Times New Roman" w:cs="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0F0BD4">
        <w:rPr>
          <w:rFonts w:ascii="Times New Roman" w:hAnsi="Times New Roman" w:cs="Times New Roman"/>
        </w:rPr>
        <w:fldChar w:fldCharType="separate"/>
      </w:r>
      <w:r w:rsidR="003C2B11" w:rsidRPr="003C2B11">
        <w:rPr>
          <w:rFonts w:ascii="Times New Roman" w:hAnsi="Times New Roman" w:cs="Times New Roman"/>
          <w:noProof/>
        </w:rPr>
        <w:t xml:space="preserve">Hughes et al. </w:t>
      </w:r>
      <w:r w:rsidR="003C2B11">
        <w:rPr>
          <w:rFonts w:ascii="Times New Roman" w:hAnsi="Times New Roman" w:cs="Times New Roman"/>
          <w:noProof/>
        </w:rPr>
        <w:t>(</w:t>
      </w:r>
      <w:r w:rsidR="003C2B11" w:rsidRPr="003C2B11">
        <w:rPr>
          <w:rFonts w:ascii="Times New Roman" w:hAnsi="Times New Roman" w:cs="Times New Roman"/>
          <w:noProof/>
        </w:rPr>
        <w:t>2023)</w:t>
      </w:r>
      <w:r w:rsidR="000F0BD4">
        <w:rPr>
          <w:rFonts w:ascii="Times New Roman" w:hAnsi="Times New Roman" w:cs="Times New Roman"/>
        </w:rPr>
        <w:fldChar w:fldCharType="end"/>
      </w:r>
      <w:r w:rsidR="001270E8">
        <w:rPr>
          <w:rFonts w:ascii="Times New Roman" w:hAnsi="Times New Roman" w:cs="Times New Roman"/>
        </w:rPr>
        <w:t>.</w:t>
      </w:r>
      <w:r w:rsidR="0037630A">
        <w:rPr>
          <w:rFonts w:ascii="Times New Roman" w:hAnsi="Times New Roman" w:cs="Times New Roman"/>
        </w:rPr>
        <w:t xml:space="preserve"> </w:t>
      </w:r>
      <w:r w:rsidR="001270E8">
        <w:rPr>
          <w:rFonts w:ascii="Times New Roman" w:hAnsi="Times New Roman" w:cs="Times New Roman"/>
        </w:rPr>
        <w:t>B</w:t>
      </w:r>
      <w:r w:rsidR="0037630A">
        <w:rPr>
          <w:rFonts w:ascii="Times New Roman" w:hAnsi="Times New Roman" w:cs="Times New Roman"/>
        </w:rPr>
        <w:t xml:space="preserve">riefly, we calculated </w:t>
      </w:r>
      <w:r w:rsidR="0037630A" w:rsidRPr="001270E8">
        <w:rPr>
          <w:rFonts w:ascii="Times New Roman" w:hAnsi="Times New Roman" w:cs="Times New Roman"/>
          <w:i/>
          <w:iCs/>
        </w:rPr>
        <w:t>C</w:t>
      </w:r>
      <w:r w:rsidR="0037630A" w:rsidRPr="001270E8">
        <w:rPr>
          <w:rFonts w:ascii="Times New Roman" w:hAnsi="Times New Roman" w:cs="Times New Roman"/>
          <w:vertAlign w:val="subscript"/>
        </w:rPr>
        <w:t>S6+</w:t>
      </w:r>
      <w:r w:rsidR="0037630A">
        <w:rPr>
          <w:rFonts w:ascii="Times New Roman" w:hAnsi="Times New Roman" w:cs="Times New Roman"/>
        </w:rPr>
        <w:t xml:space="preserve"> from glasses with known </w:t>
      </w:r>
      <w:r w:rsidR="0037630A" w:rsidRPr="0037630A">
        <w:rPr>
          <w:rFonts w:ascii="Times New Roman" w:hAnsi="Times New Roman" w:cs="Times New Roman"/>
          <w:i/>
          <w:iCs/>
        </w:rPr>
        <w:t>T</w:t>
      </w:r>
      <w:r w:rsidR="0037630A">
        <w:rPr>
          <w:rFonts w:ascii="Times New Roman" w:hAnsi="Times New Roman" w:cs="Times New Roman"/>
        </w:rPr>
        <w:t>, measured S</w:t>
      </w:r>
      <w:r w:rsidR="0037630A" w:rsidRPr="001270E8">
        <w:rPr>
          <w:rFonts w:ascii="Times New Roman" w:hAnsi="Times New Roman" w:cs="Times New Roman"/>
          <w:vertAlign w:val="superscript"/>
        </w:rPr>
        <w:t>6+</w:t>
      </w:r>
      <w:r w:rsidR="0037630A">
        <w:rPr>
          <w:rFonts w:ascii="Times New Roman" w:hAnsi="Times New Roman" w:cs="Times New Roman"/>
        </w:rPr>
        <w:t>/S</w:t>
      </w:r>
      <w:r w:rsidR="0037630A" w:rsidRPr="001270E8">
        <w:rPr>
          <w:rFonts w:ascii="Times New Roman" w:hAnsi="Times New Roman" w:cs="Times New Roman"/>
          <w:vertAlign w:val="subscript"/>
        </w:rPr>
        <w:t>T</w:t>
      </w:r>
      <w:r w:rsidR="0037630A">
        <w:rPr>
          <w:rFonts w:ascii="Times New Roman" w:hAnsi="Times New Roman" w:cs="Times New Roman"/>
        </w:rPr>
        <w:t xml:space="preserve"> and Fe</w:t>
      </w:r>
      <w:r w:rsidR="0037630A" w:rsidRPr="001270E8">
        <w:rPr>
          <w:rFonts w:ascii="Times New Roman" w:hAnsi="Times New Roman" w:cs="Times New Roman"/>
          <w:vertAlign w:val="superscript"/>
        </w:rPr>
        <w:t>3+</w:t>
      </w:r>
      <w:r w:rsidR="0037630A">
        <w:rPr>
          <w:rFonts w:ascii="Times New Roman" w:hAnsi="Times New Roman" w:cs="Times New Roman"/>
        </w:rPr>
        <w:t>/</w:t>
      </w:r>
      <w:proofErr w:type="spellStart"/>
      <w:r w:rsidR="0037630A">
        <w:rPr>
          <w:rFonts w:ascii="Times New Roman" w:hAnsi="Times New Roman" w:cs="Times New Roman"/>
        </w:rPr>
        <w:t>Fe</w:t>
      </w:r>
      <w:r w:rsidR="0037630A" w:rsidRPr="001270E8">
        <w:rPr>
          <w:rFonts w:ascii="Times New Roman" w:hAnsi="Times New Roman" w:cs="Times New Roman"/>
          <w:vertAlign w:val="subscript"/>
        </w:rPr>
        <w:t>T</w:t>
      </w:r>
      <w:proofErr w:type="spellEnd"/>
      <w:r w:rsidR="0037630A">
        <w:rPr>
          <w:rFonts w:ascii="Times New Roman" w:hAnsi="Times New Roman" w:cs="Times New Roman"/>
        </w:rPr>
        <w:t xml:space="preserve">, and used O’Neill (2021) to calculate </w:t>
      </w:r>
      <w:r w:rsidR="0037630A" w:rsidRPr="001270E8">
        <w:rPr>
          <w:rFonts w:ascii="Times New Roman" w:hAnsi="Times New Roman" w:cs="Times New Roman"/>
          <w:i/>
          <w:iCs/>
        </w:rPr>
        <w:t>C</w:t>
      </w:r>
      <w:r w:rsidR="0037630A" w:rsidRPr="001270E8">
        <w:rPr>
          <w:rFonts w:ascii="Times New Roman" w:hAnsi="Times New Roman" w:cs="Times New Roman"/>
          <w:vertAlign w:val="subscript"/>
        </w:rPr>
        <w:t>S2-</w:t>
      </w:r>
      <w:r w:rsidR="001270E8">
        <w:rPr>
          <w:rFonts w:ascii="Times New Roman" w:hAnsi="Times New Roman" w:cs="Times New Roman"/>
        </w:rPr>
        <w:t xml:space="preserve">: these are the symbols in </w:t>
      </w:r>
      <w:r w:rsidR="001270E8" w:rsidRPr="00F92A05">
        <w:rPr>
          <w:rFonts w:ascii="Times New Roman" w:hAnsi="Times New Roman" w:cs="Times New Roman"/>
          <w:color w:val="000000" w:themeColor="text1"/>
        </w:rPr>
        <w:t>Figure S5</w:t>
      </w:r>
      <w:r w:rsidR="007E1BC2">
        <w:rPr>
          <w:rFonts w:ascii="Times New Roman" w:hAnsi="Times New Roman" w:cs="Times New Roman"/>
        </w:rPr>
        <w:t>.</w:t>
      </w:r>
      <w:r w:rsidR="001270E8">
        <w:rPr>
          <w:rFonts w:ascii="Times New Roman" w:hAnsi="Times New Roman" w:cs="Times New Roman"/>
        </w:rPr>
        <w:t xml:space="preserve"> The </w:t>
      </w:r>
      <w:r w:rsidR="001270E8">
        <w:rPr>
          <w:rFonts w:ascii="Times New Roman" w:hAnsi="Times New Roman" w:cs="Times New Roman"/>
          <w:i/>
          <w:iCs/>
        </w:rPr>
        <w:t>T</w:t>
      </w:r>
      <w:r w:rsidR="001270E8">
        <w:rPr>
          <w:rFonts w:ascii="Times New Roman" w:hAnsi="Times New Roman" w:cs="Times New Roman"/>
        </w:rPr>
        <w:t xml:space="preserve">-relationship was derived by fitting the </w:t>
      </w:r>
      <w:r w:rsidR="001270E8" w:rsidRPr="001270E8">
        <w:rPr>
          <w:rFonts w:ascii="Times New Roman" w:hAnsi="Times New Roman" w:cs="Times New Roman"/>
          <w:i/>
          <w:iCs/>
        </w:rPr>
        <w:t>C</w:t>
      </w:r>
      <w:r w:rsidR="001270E8" w:rsidRPr="001270E8">
        <w:rPr>
          <w:rFonts w:ascii="Times New Roman" w:hAnsi="Times New Roman" w:cs="Times New Roman"/>
          <w:vertAlign w:val="subscript"/>
        </w:rPr>
        <w:t>S6+</w:t>
      </w:r>
      <w:r w:rsidR="001270E8">
        <w:rPr>
          <w:rFonts w:ascii="Times New Roman" w:hAnsi="Times New Roman" w:cs="Times New Roman"/>
        </w:rPr>
        <w:t xml:space="preserve"> calculated for </w:t>
      </w:r>
      <w:proofErr w:type="spellStart"/>
      <w:r w:rsidR="001270E8" w:rsidRPr="001270E8">
        <w:rPr>
          <w:rFonts w:ascii="Times New Roman" w:hAnsi="Times New Roman" w:cs="Times New Roman"/>
        </w:rPr>
        <w:t>Kīlauea</w:t>
      </w:r>
      <w:proofErr w:type="spellEnd"/>
      <w:r w:rsidR="001270E8">
        <w:rPr>
          <w:rFonts w:ascii="Times New Roman" w:hAnsi="Times New Roman" w:cs="Times New Roman"/>
        </w:rPr>
        <w:t xml:space="preserve"> glasses (</w:t>
      </w:r>
      <w:r w:rsidR="001270E8" w:rsidRPr="00F92A05">
        <w:rPr>
          <w:rFonts w:ascii="Times New Roman" w:hAnsi="Times New Roman" w:cs="Times New Roman"/>
          <w:color w:val="000000" w:themeColor="text1"/>
        </w:rPr>
        <w:t>Figure S5</w:t>
      </w:r>
      <w:r w:rsidR="001270E8">
        <w:rPr>
          <w:rFonts w:ascii="Times New Roman" w:hAnsi="Times New Roman" w:cs="Times New Roman"/>
        </w:rPr>
        <w:t>).</w:t>
      </w:r>
      <w:r w:rsidR="007E1BC2">
        <w:rPr>
          <w:rFonts w:ascii="Times New Roman" w:hAnsi="Times New Roman" w:cs="Times New Roman"/>
        </w:rPr>
        <w:t xml:space="preserve"> This gave a value of </w:t>
      </w:r>
      <w:r w:rsidR="007E1BC2" w:rsidRPr="00CC0D73">
        <w:rPr>
          <w:rFonts w:ascii="Times New Roman" w:hAnsi="Times New Roman" w:cs="Times New Roman"/>
        </w:rPr>
        <w:t>the Hawaiian basalt used in our model</w:t>
      </w:r>
      <w:r w:rsidR="007E1BC2">
        <w:rPr>
          <w:rFonts w:ascii="Times New Roman" w:hAnsi="Times New Roman" w:cs="Times New Roman"/>
        </w:rPr>
        <w:t xml:space="preserve"> of </w:t>
      </w:r>
      <w:r w:rsidR="007E1BC2" w:rsidRPr="00CC0D73">
        <w:rPr>
          <w:rFonts w:ascii="Times New Roman" w:hAnsi="Times New Roman" w:cs="Times New Roman"/>
        </w:rPr>
        <w:t>log</w:t>
      </w:r>
      <w:r w:rsidR="007E1BC2" w:rsidRPr="00CC0D73">
        <w:rPr>
          <w:rFonts w:ascii="Times New Roman" w:hAnsi="Times New Roman" w:cs="Times New Roman"/>
          <w:vertAlign w:val="subscript"/>
        </w:rPr>
        <w:t>10</w:t>
      </w:r>
      <w:r w:rsidR="007E1BC2" w:rsidRPr="00CC0D73">
        <w:rPr>
          <w:rFonts w:ascii="Times New Roman" w:hAnsi="Times New Roman" w:cs="Times New Roman"/>
        </w:rPr>
        <w:t>(C</w:t>
      </w:r>
      <w:r w:rsidR="007E1BC2" w:rsidRPr="00CC0D73">
        <w:rPr>
          <w:rFonts w:ascii="Times New Roman" w:hAnsi="Times New Roman" w:cs="Times New Roman"/>
          <w:vertAlign w:val="subscript"/>
        </w:rPr>
        <w:t>S6+</w:t>
      </w:r>
      <w:r w:rsidR="007E1BC2" w:rsidRPr="00CC0D73">
        <w:rPr>
          <w:rFonts w:ascii="Times New Roman" w:hAnsi="Times New Roman" w:cs="Times New Roman"/>
        </w:rPr>
        <w:t>) = +13.24 at 1200</w:t>
      </w:r>
      <w:r w:rsidR="002059BA">
        <w:rPr>
          <w:rFonts w:ascii="Times New Roman" w:hAnsi="Times New Roman" w:cs="Times New Roman"/>
        </w:rPr>
        <w:t xml:space="preserve"> </w:t>
      </w:r>
      <w:r w:rsidR="007E1BC2" w:rsidRPr="00CC0D73">
        <w:rPr>
          <w:rFonts w:ascii="Times New Roman" w:hAnsi="Times New Roman" w:cs="Times New Roman"/>
        </w:rPr>
        <w:t xml:space="preserve">°C </w:t>
      </w:r>
      <w:r w:rsidR="007E1BC2" w:rsidRPr="007E1BC2">
        <w:rPr>
          <w:rFonts w:ascii="Times New Roman" w:hAnsi="Times New Roman" w:cs="Times New Roman"/>
        </w:rPr>
        <w:t>(</w:t>
      </w:r>
      <w:r w:rsidR="007E1BC2" w:rsidRPr="007E1BC2">
        <w:rPr>
          <w:rFonts w:ascii="Times New Roman" w:hAnsi="Times New Roman" w:cs="Times New Roman"/>
        </w:rPr>
        <w:fldChar w:fldCharType="begin"/>
      </w:r>
      <w:r w:rsidR="007E1BC2" w:rsidRPr="007E1BC2">
        <w:rPr>
          <w:rFonts w:ascii="Times New Roman" w:hAnsi="Times New Roman" w:cs="Times New Roman"/>
        </w:rPr>
        <w:instrText xml:space="preserve"> REF _Ref83674515 \h  \* MERGEFORMAT </w:instrText>
      </w:r>
      <w:r w:rsidR="007E1BC2" w:rsidRPr="007E1BC2">
        <w:rPr>
          <w:rFonts w:ascii="Times New Roman" w:hAnsi="Times New Roman" w:cs="Times New Roman"/>
        </w:rPr>
      </w:r>
      <w:r w:rsidR="007E1BC2" w:rsidRPr="007E1BC2">
        <w:rPr>
          <w:rFonts w:ascii="Times New Roman" w:hAnsi="Times New Roman" w:cs="Times New Roman"/>
        </w:rPr>
        <w:fldChar w:fldCharType="separate"/>
      </w:r>
      <w:r w:rsidR="00F92A05" w:rsidRPr="00F92A05">
        <w:rPr>
          <w:rFonts w:ascii="Times New Roman" w:hAnsi="Times New Roman" w:cs="Times New Roman"/>
          <w:color w:val="000000" w:themeColor="text1"/>
        </w:rPr>
        <w:t>Figure S5</w:t>
      </w:r>
      <w:r w:rsidR="007E1BC2" w:rsidRPr="007E1BC2">
        <w:rPr>
          <w:rFonts w:ascii="Times New Roman" w:hAnsi="Times New Roman" w:cs="Times New Roman"/>
        </w:rPr>
        <w:fldChar w:fldCharType="end"/>
      </w:r>
      <w:r w:rsidR="007E1BC2" w:rsidRPr="007E1BC2">
        <w:rPr>
          <w:rFonts w:ascii="Times New Roman" w:hAnsi="Times New Roman" w:cs="Times New Roman"/>
        </w:rPr>
        <w:t>)</w:t>
      </w:r>
      <w:r w:rsidR="007E1BC2">
        <w:rPr>
          <w:rFonts w:ascii="Times New Roman" w:hAnsi="Times New Roman" w:cs="Times New Roman"/>
        </w:rPr>
        <w:t xml:space="preserve"> and is independent of </w:t>
      </w:r>
      <w:r w:rsidR="00B22D0E">
        <w:rPr>
          <w:rFonts w:ascii="Times New Roman" w:hAnsi="Times New Roman" w:cs="Times New Roman"/>
          <w:i/>
          <w:iCs/>
        </w:rPr>
        <w:t>P</w:t>
      </w:r>
      <w:r w:rsidR="007E1BC2">
        <w:rPr>
          <w:rFonts w:ascii="Times New Roman" w:hAnsi="Times New Roman" w:cs="Times New Roman"/>
        </w:rPr>
        <w:t>. This value agrees well with the parameterisations of</w:t>
      </w:r>
      <w:r w:rsidR="000F0BD4">
        <w:rPr>
          <w:rFonts w:ascii="Times New Roman" w:hAnsi="Times New Roman" w:cs="Times New Roman"/>
        </w:rPr>
        <w:t xml:space="preserve"> </w:t>
      </w:r>
      <w:r w:rsidR="000F0BD4">
        <w:rPr>
          <w:rFonts w:ascii="Times New Roman" w:hAnsi="Times New Roman" w:cs="Times New Roman"/>
        </w:rPr>
        <w:fldChar w:fldCharType="begin" w:fldLock="1"/>
      </w:r>
      <w:r w:rsidR="00923A61">
        <w:rPr>
          <w:rFonts w:ascii="Times New Roman" w:hAnsi="Times New Roman" w:cs="Times New Roman"/>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id":"ITEM-2","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150-164","id":"ITEM-2","issued":{"date-parts":[["2022"]]},"page":"150-164","title":"SO2 solubility and degassing behavior in silicate melts","type":"article-journal","volume":"336"},"uris":["http://www.mendeley.com/documents/?uuid=7eb4d60b-d94d-440e-bd68-afce2f65efa3"]}],"mendeley":{"formattedCitation":"(Boulliung and Wood, 2022; O’Neill and Mavrogenes, 2022)","manualFormatting":"Boulliung and Wood (2022) and O’Neill and Mavrogenes (2022)","plainTextFormattedCitation":"(Boulliung and Wood, 2022; O’Neill and Mavrogenes, 2022)","previouslyFormattedCitation":"(Boulliung and Wood, 2022; O’Neill and Mavrogenes, 2022)"},"properties":{"noteIndex":0},"schema":"https://github.com/citation-style-language/schema/raw/master/csl-citation.json"}</w:instrText>
      </w:r>
      <w:r w:rsidR="000F0BD4">
        <w:rPr>
          <w:rFonts w:ascii="Times New Roman" w:hAnsi="Times New Roman" w:cs="Times New Roman"/>
        </w:rPr>
        <w:fldChar w:fldCharType="separate"/>
      </w:r>
      <w:r w:rsidR="00896F9F" w:rsidRPr="00896F9F">
        <w:rPr>
          <w:rFonts w:ascii="Times New Roman" w:hAnsi="Times New Roman" w:cs="Times New Roman"/>
          <w:noProof/>
        </w:rPr>
        <w:t xml:space="preserve">Boulliung and Wood </w:t>
      </w:r>
      <w:r w:rsidR="00896F9F">
        <w:rPr>
          <w:rFonts w:ascii="Times New Roman" w:hAnsi="Times New Roman" w:cs="Times New Roman"/>
          <w:noProof/>
        </w:rPr>
        <w:t>(</w:t>
      </w:r>
      <w:r w:rsidR="00896F9F" w:rsidRPr="00896F9F">
        <w:rPr>
          <w:rFonts w:ascii="Times New Roman" w:hAnsi="Times New Roman" w:cs="Times New Roman"/>
          <w:noProof/>
        </w:rPr>
        <w:t>2022</w:t>
      </w:r>
      <w:r w:rsidR="00896F9F">
        <w:rPr>
          <w:rFonts w:ascii="Times New Roman" w:hAnsi="Times New Roman" w:cs="Times New Roman"/>
          <w:noProof/>
        </w:rPr>
        <w:t>) and</w:t>
      </w:r>
      <w:r w:rsidR="00896F9F" w:rsidRPr="00896F9F">
        <w:rPr>
          <w:rFonts w:ascii="Times New Roman" w:hAnsi="Times New Roman" w:cs="Times New Roman"/>
          <w:noProof/>
        </w:rPr>
        <w:t xml:space="preserve"> O’Neill and Mavrogenes </w:t>
      </w:r>
      <w:r w:rsidR="00896F9F">
        <w:rPr>
          <w:rFonts w:ascii="Times New Roman" w:hAnsi="Times New Roman" w:cs="Times New Roman"/>
          <w:noProof/>
        </w:rPr>
        <w:t>(</w:t>
      </w:r>
      <w:r w:rsidR="00896F9F" w:rsidRPr="00896F9F">
        <w:rPr>
          <w:rFonts w:ascii="Times New Roman" w:hAnsi="Times New Roman" w:cs="Times New Roman"/>
          <w:noProof/>
        </w:rPr>
        <w:t>2022)</w:t>
      </w:r>
      <w:r w:rsidR="000F0BD4">
        <w:rPr>
          <w:rFonts w:ascii="Times New Roman" w:hAnsi="Times New Roman" w:cs="Times New Roman"/>
        </w:rPr>
        <w:fldChar w:fldCharType="end"/>
      </w:r>
      <w:r w:rsidR="007E1BC2">
        <w:rPr>
          <w:rFonts w:ascii="Times New Roman" w:hAnsi="Times New Roman" w:cs="Times New Roman"/>
        </w:rPr>
        <w:t xml:space="preserve"> (</w:t>
      </w:r>
      <w:r w:rsidR="007E1BC2" w:rsidRPr="007E1BC2">
        <w:rPr>
          <w:rFonts w:ascii="Times New Roman" w:hAnsi="Times New Roman" w:cs="Times New Roman"/>
        </w:rPr>
        <w:fldChar w:fldCharType="begin"/>
      </w:r>
      <w:r w:rsidR="007E1BC2" w:rsidRPr="007E1BC2">
        <w:rPr>
          <w:rFonts w:ascii="Times New Roman" w:hAnsi="Times New Roman" w:cs="Times New Roman"/>
        </w:rPr>
        <w:instrText xml:space="preserve"> REF _Ref83674515 \h  \* MERGEFORMAT </w:instrText>
      </w:r>
      <w:r w:rsidR="007E1BC2" w:rsidRPr="007E1BC2">
        <w:rPr>
          <w:rFonts w:ascii="Times New Roman" w:hAnsi="Times New Roman" w:cs="Times New Roman"/>
        </w:rPr>
      </w:r>
      <w:r w:rsidR="007E1BC2" w:rsidRPr="007E1BC2">
        <w:rPr>
          <w:rFonts w:ascii="Times New Roman" w:hAnsi="Times New Roman" w:cs="Times New Roman"/>
        </w:rPr>
        <w:fldChar w:fldCharType="separate"/>
      </w:r>
      <w:r w:rsidR="00336EFB" w:rsidRPr="00336EFB">
        <w:rPr>
          <w:rFonts w:ascii="Times New Roman" w:hAnsi="Times New Roman" w:cs="Times New Roman"/>
          <w:color w:val="000000" w:themeColor="text1"/>
        </w:rPr>
        <w:t>Figure S2</w:t>
      </w:r>
      <w:r w:rsidR="007E1BC2" w:rsidRPr="007E1BC2">
        <w:rPr>
          <w:rFonts w:ascii="Times New Roman" w:hAnsi="Times New Roman" w:cs="Times New Roman"/>
        </w:rPr>
        <w:fldChar w:fldCharType="end"/>
      </w:r>
      <w:r w:rsidR="007E1BC2">
        <w:rPr>
          <w:rFonts w:ascii="Times New Roman" w:hAnsi="Times New Roman" w:cs="Times New Roman"/>
        </w:rPr>
        <w:t>).</w:t>
      </w:r>
      <w:r w:rsidR="002059BA">
        <w:rPr>
          <w:rFonts w:ascii="Times New Roman" w:hAnsi="Times New Roman" w:cs="Times New Roman"/>
        </w:rPr>
        <w:t xml:space="preserve"> However, we now use the parameterisation of </w:t>
      </w:r>
      <w:r w:rsidR="002059BA">
        <w:rPr>
          <w:rFonts w:ascii="Times New Roman" w:hAnsi="Times New Roman" w:cs="Times New Roman"/>
        </w:rPr>
        <w:fldChar w:fldCharType="begin" w:fldLock="1"/>
      </w:r>
      <w:r w:rsidR="00923A61">
        <w:rPr>
          <w:rFonts w:ascii="Times New Roman" w:hAnsi="Times New Roman" w:cs="Times New Roman"/>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id":"ITEM-2","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150-164","id":"ITEM-2","issued":{"date-parts":[["2022"]]},"page":"150-164","title":"SO2 solubility and degassing behavior in silicate melts","type":"article-journal","volume":"336"},"uris":["http://www.mendeley.com/documents/?uuid=7eb4d60b-d94d-440e-bd68-afce2f65efa3"]}],"mendeley":{"formattedCitation":"(Boulliung and Wood, 2022; O’Neill and Mavrogenes, 2022)","manualFormatting":"O’Neill and Mavrogenes (2022)","plainTextFormattedCitation":"(Boulliung and Wood, 2022; O’Neill and Mavrogenes, 2022)","previouslyFormattedCitation":"(Boulliung and Wood, 2022; O’Neill and Mavrogenes, 2022)"},"properties":{"noteIndex":0},"schema":"https://github.com/citation-style-language/schema/raw/master/csl-citation.json"}</w:instrText>
      </w:r>
      <w:r w:rsidR="002059BA">
        <w:rPr>
          <w:rFonts w:ascii="Times New Roman" w:hAnsi="Times New Roman" w:cs="Times New Roman"/>
        </w:rPr>
        <w:fldChar w:fldCharType="separate"/>
      </w:r>
      <w:r w:rsidR="002059BA" w:rsidRPr="000F0BD4">
        <w:rPr>
          <w:rFonts w:ascii="Times New Roman" w:hAnsi="Times New Roman" w:cs="Times New Roman"/>
          <w:noProof/>
        </w:rPr>
        <w:t xml:space="preserve">O’Neill and Mavrogenes </w:t>
      </w:r>
      <w:r w:rsidR="002059BA">
        <w:rPr>
          <w:rFonts w:ascii="Times New Roman" w:hAnsi="Times New Roman" w:cs="Times New Roman"/>
          <w:noProof/>
        </w:rPr>
        <w:t>(</w:t>
      </w:r>
      <w:r w:rsidR="002059BA" w:rsidRPr="000F0BD4">
        <w:rPr>
          <w:rFonts w:ascii="Times New Roman" w:hAnsi="Times New Roman" w:cs="Times New Roman"/>
          <w:noProof/>
        </w:rPr>
        <w:t>2022)</w:t>
      </w:r>
      <w:r w:rsidR="002059BA">
        <w:rPr>
          <w:rFonts w:ascii="Times New Roman" w:hAnsi="Times New Roman" w:cs="Times New Roman"/>
        </w:rPr>
        <w:fldChar w:fldCharType="end"/>
      </w:r>
      <w:r w:rsidR="00E279C6">
        <w:rPr>
          <w:rFonts w:ascii="Times New Roman" w:hAnsi="Times New Roman" w:cs="Times New Roman"/>
        </w:rPr>
        <w:t xml:space="preserve"> </w:t>
      </w:r>
      <w:r w:rsidR="002059BA">
        <w:rPr>
          <w:rFonts w:ascii="Times New Roman" w:hAnsi="Times New Roman" w:cs="Times New Roman"/>
        </w:rPr>
        <w:t xml:space="preserve">for our modelling, which is based on experiments covering a wide range of silicate compositions at 1200–1500 </w:t>
      </w:r>
      <w:r w:rsidR="002059BA" w:rsidRPr="00CC0D73">
        <w:rPr>
          <w:rFonts w:ascii="Times New Roman" w:hAnsi="Times New Roman" w:cs="Times New Roman"/>
        </w:rPr>
        <w:t>°C</w:t>
      </w:r>
      <w:r w:rsidR="002059BA">
        <w:rPr>
          <w:rFonts w:ascii="Times New Roman" w:hAnsi="Times New Roman" w:cs="Times New Roman"/>
        </w:rPr>
        <w:t xml:space="preserve"> and 1 bar. </w:t>
      </w:r>
      <w:r w:rsidR="00E279C6">
        <w:rPr>
          <w:rFonts w:ascii="Times New Roman" w:hAnsi="Times New Roman" w:cs="Times New Roman"/>
        </w:rPr>
        <w:t xml:space="preserve">For both </w:t>
      </w:r>
      <w:proofErr w:type="spellStart"/>
      <w:r w:rsidR="00E279C6">
        <w:rPr>
          <w:rFonts w:ascii="Times New Roman" w:hAnsi="Times New Roman" w:cs="Times New Roman"/>
        </w:rPr>
        <w:t>sulfide</w:t>
      </w:r>
      <w:proofErr w:type="spellEnd"/>
      <w:r w:rsidR="00CF244A">
        <w:rPr>
          <w:rFonts w:ascii="Times New Roman" w:hAnsi="Times New Roman" w:cs="Times New Roman"/>
        </w:rPr>
        <w:t xml:space="preserve"> and </w:t>
      </w:r>
      <w:proofErr w:type="spellStart"/>
      <w:r w:rsidR="00CF244A">
        <w:rPr>
          <w:rFonts w:ascii="Times New Roman" w:hAnsi="Times New Roman" w:cs="Times New Roman"/>
        </w:rPr>
        <w:t>sulfate</w:t>
      </w:r>
      <w:proofErr w:type="spellEnd"/>
      <w:r w:rsidR="00CF244A">
        <w:rPr>
          <w:rFonts w:ascii="Times New Roman" w:hAnsi="Times New Roman" w:cs="Times New Roman"/>
        </w:rPr>
        <w:t xml:space="preserve"> capacity</w:t>
      </w:r>
      <w:r w:rsidR="0037630A">
        <w:rPr>
          <w:rFonts w:ascii="Times New Roman" w:hAnsi="Times New Roman" w:cs="Times New Roman"/>
        </w:rPr>
        <w:t xml:space="preserve"> using O’Neill (2021) and </w:t>
      </w:r>
      <w:r w:rsidR="0037630A" w:rsidRPr="0037630A">
        <w:rPr>
          <w:rFonts w:ascii="Times New Roman" w:hAnsi="Times New Roman" w:cs="Times New Roman"/>
          <w:i/>
          <w:iCs/>
          <w:color w:val="000000" w:themeColor="text1"/>
        </w:rPr>
        <w:fldChar w:fldCharType="begin" w:fldLock="1"/>
      </w:r>
      <w:r w:rsidR="0037630A" w:rsidRPr="0037630A">
        <w:rPr>
          <w:rFonts w:ascii="Times New Roman" w:hAnsi="Times New Roman" w:cs="Times New Roman"/>
          <w:color w:val="000000" w:themeColor="text1"/>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melts","type":"article-journal"},"uris":["http://www.mendeley.com/documents/?uuid=28383afe-41b6-312f-a795-212a394fed74"]}],"mendeley":{"formattedCitation":"(O’Neill and Mavrogenes, 2022)","manualFormatting":"O’Neill and Mavrogenes (2022)","plainTextFormattedCitation":"(O’Neill and Mavrogenes, 2022)","previouslyFormattedCitation":"(O’Neill and Mavrogenes, 2022)"},"properties":{"noteIndex":0},"schema":"https://github.com/citation-style-language/schema/raw/master/csl-citation.json"}</w:instrText>
      </w:r>
      <w:r w:rsidR="0037630A" w:rsidRPr="0037630A">
        <w:rPr>
          <w:rFonts w:ascii="Times New Roman" w:hAnsi="Times New Roman" w:cs="Times New Roman"/>
          <w:i/>
          <w:iCs/>
          <w:color w:val="000000" w:themeColor="text1"/>
        </w:rPr>
        <w:fldChar w:fldCharType="separate"/>
      </w:r>
      <w:r w:rsidR="0037630A" w:rsidRPr="0037630A">
        <w:rPr>
          <w:rFonts w:ascii="Times New Roman" w:hAnsi="Times New Roman" w:cs="Times New Roman"/>
          <w:noProof/>
          <w:color w:val="000000" w:themeColor="text1"/>
        </w:rPr>
        <w:t>O’Neill and Mavrogenes (2022)</w:t>
      </w:r>
      <w:r w:rsidR="0037630A" w:rsidRPr="0037630A">
        <w:rPr>
          <w:rFonts w:ascii="Times New Roman" w:hAnsi="Times New Roman" w:cs="Times New Roman"/>
          <w:i/>
          <w:iCs/>
          <w:color w:val="000000" w:themeColor="text1"/>
        </w:rPr>
        <w:fldChar w:fldCharType="end"/>
      </w:r>
      <w:r w:rsidR="00CF244A">
        <w:rPr>
          <w:rFonts w:ascii="Times New Roman" w:hAnsi="Times New Roman" w:cs="Times New Roman"/>
        </w:rPr>
        <w:t xml:space="preserve">, the </w:t>
      </w:r>
      <w:proofErr w:type="spellStart"/>
      <w:r w:rsidR="00CF244A">
        <w:rPr>
          <w:rFonts w:ascii="Times New Roman" w:hAnsi="Times New Roman" w:cs="Times New Roman"/>
        </w:rPr>
        <w:t>sulfur</w:t>
      </w:r>
      <w:proofErr w:type="spellEnd"/>
      <w:r w:rsidR="00CF244A">
        <w:rPr>
          <w:rFonts w:ascii="Times New Roman" w:hAnsi="Times New Roman" w:cs="Times New Roman"/>
        </w:rPr>
        <w:t xml:space="preserve"> content is calculated as ppm weight, rather than mole fraction.</w:t>
      </w:r>
    </w:p>
    <w:p w14:paraId="558AAE96" w14:textId="48F9A596" w:rsidR="007E1BC2" w:rsidRDefault="001270E8" w:rsidP="007E1BC2">
      <w:pPr>
        <w:keepNext/>
        <w:jc w:val="center"/>
      </w:pPr>
      <w:r>
        <w:rPr>
          <w:noProof/>
        </w:rPr>
        <w:lastRenderedPageBreak/>
        <w:drawing>
          <wp:inline distT="0" distB="0" distL="0" distR="0" wp14:anchorId="2630E078" wp14:editId="3C20204E">
            <wp:extent cx="4584700" cy="2743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84700" cy="2743200"/>
                    </a:xfrm>
                    <a:prstGeom prst="rect">
                      <a:avLst/>
                    </a:prstGeom>
                  </pic:spPr>
                </pic:pic>
              </a:graphicData>
            </a:graphic>
          </wp:inline>
        </w:drawing>
      </w:r>
      <w:r w:rsidR="00FF17A8" w:rsidRPr="005068A3">
        <w:rPr>
          <w:noProof/>
          <w:sz w:val="22"/>
          <w:szCs w:val="22"/>
        </w:rPr>
        <w:t xml:space="preserve"> </w:t>
      </w:r>
    </w:p>
    <w:p w14:paraId="44588B15" w14:textId="27E87FA0" w:rsidR="007E1BC2" w:rsidRPr="003C2B11" w:rsidRDefault="007E1BC2" w:rsidP="0022237F">
      <w:pPr>
        <w:pStyle w:val="Caption"/>
        <w:spacing w:after="0"/>
        <w:ind w:firstLine="0"/>
        <w:rPr>
          <w:i w:val="0"/>
          <w:iCs w:val="0"/>
          <w:color w:val="000000" w:themeColor="text1"/>
          <w:sz w:val="24"/>
          <w:szCs w:val="24"/>
        </w:rPr>
      </w:pPr>
      <w:bookmarkStart w:id="12" w:name="_Ref83674515"/>
      <w:r w:rsidRPr="003C2B11">
        <w:rPr>
          <w:color w:val="000000" w:themeColor="text1"/>
          <w:sz w:val="24"/>
          <w:szCs w:val="24"/>
        </w:rPr>
        <w:t>Figure S</w:t>
      </w:r>
      <w:r w:rsidRPr="003C2B11">
        <w:rPr>
          <w:color w:val="000000" w:themeColor="text1"/>
          <w:sz w:val="24"/>
          <w:szCs w:val="24"/>
        </w:rPr>
        <w:fldChar w:fldCharType="begin"/>
      </w:r>
      <w:r w:rsidRPr="003C2B11">
        <w:rPr>
          <w:color w:val="000000" w:themeColor="text1"/>
          <w:sz w:val="24"/>
          <w:szCs w:val="24"/>
        </w:rPr>
        <w:instrText xml:space="preserve"> SEQ Figure \* ARABIC </w:instrText>
      </w:r>
      <w:r w:rsidRPr="003C2B11">
        <w:rPr>
          <w:color w:val="000000" w:themeColor="text1"/>
          <w:sz w:val="24"/>
          <w:szCs w:val="24"/>
        </w:rPr>
        <w:fldChar w:fldCharType="separate"/>
      </w:r>
      <w:r w:rsidR="009E5695">
        <w:rPr>
          <w:noProof/>
          <w:color w:val="000000" w:themeColor="text1"/>
          <w:sz w:val="24"/>
          <w:szCs w:val="24"/>
        </w:rPr>
        <w:t>5</w:t>
      </w:r>
      <w:r w:rsidRPr="003C2B11">
        <w:rPr>
          <w:color w:val="000000" w:themeColor="text1"/>
          <w:sz w:val="24"/>
          <w:szCs w:val="24"/>
        </w:rPr>
        <w:fldChar w:fldCharType="end"/>
      </w:r>
      <w:bookmarkEnd w:id="12"/>
      <w:r w:rsidRPr="003C2B11">
        <w:rPr>
          <w:i w:val="0"/>
          <w:iCs w:val="0"/>
          <w:color w:val="000000" w:themeColor="text1"/>
          <w:sz w:val="24"/>
          <w:szCs w:val="24"/>
        </w:rPr>
        <w:t xml:space="preserve"> Calculated </w:t>
      </w:r>
      <w:proofErr w:type="spellStart"/>
      <w:r w:rsidRPr="003C2B11">
        <w:rPr>
          <w:i w:val="0"/>
          <w:iCs w:val="0"/>
          <w:color w:val="000000" w:themeColor="text1"/>
          <w:sz w:val="24"/>
          <w:szCs w:val="24"/>
        </w:rPr>
        <w:t>sulfate</w:t>
      </w:r>
      <w:proofErr w:type="spellEnd"/>
      <w:r w:rsidRPr="003C2B11">
        <w:rPr>
          <w:i w:val="0"/>
          <w:iCs w:val="0"/>
          <w:color w:val="000000" w:themeColor="text1"/>
          <w:sz w:val="24"/>
          <w:szCs w:val="24"/>
        </w:rPr>
        <w:t xml:space="preserve"> capacities against temperature for natural samples</w:t>
      </w:r>
      <w:r w:rsidR="001270E8">
        <w:rPr>
          <w:i w:val="0"/>
          <w:iCs w:val="0"/>
          <w:color w:val="000000" w:themeColor="text1"/>
          <w:sz w:val="24"/>
          <w:szCs w:val="24"/>
        </w:rPr>
        <w:t xml:space="preserve"> where </w:t>
      </w:r>
      <w:r w:rsidR="001270E8" w:rsidRPr="001270E8">
        <w:rPr>
          <w:color w:val="000000" w:themeColor="text1"/>
          <w:sz w:val="24"/>
          <w:szCs w:val="24"/>
        </w:rPr>
        <w:t>C</w:t>
      </w:r>
      <w:r w:rsidR="001270E8" w:rsidRPr="001270E8">
        <w:rPr>
          <w:i w:val="0"/>
          <w:iCs w:val="0"/>
          <w:color w:val="000000" w:themeColor="text1"/>
          <w:sz w:val="24"/>
          <w:szCs w:val="24"/>
          <w:vertAlign w:val="subscript"/>
        </w:rPr>
        <w:t>S6+</w:t>
      </w:r>
      <w:r w:rsidR="001270E8">
        <w:rPr>
          <w:i w:val="0"/>
          <w:iCs w:val="0"/>
          <w:color w:val="000000" w:themeColor="text1"/>
          <w:sz w:val="24"/>
          <w:szCs w:val="24"/>
        </w:rPr>
        <w:t xml:space="preserve"> has been calculated by Hughes et al. (2023)</w:t>
      </w:r>
      <w:r w:rsidRPr="003C2B11">
        <w:rPr>
          <w:i w:val="0"/>
          <w:iCs w:val="0"/>
          <w:color w:val="000000" w:themeColor="text1"/>
          <w:sz w:val="24"/>
          <w:szCs w:val="24"/>
        </w:rPr>
        <w:t xml:space="preserve"> from Hawai’i: Mauna Kea in purple squares </w:t>
      </w:r>
      <w:r w:rsidRPr="003C2B11">
        <w:rPr>
          <w:i w:val="0"/>
          <w:iCs w:val="0"/>
          <w:color w:val="000000" w:themeColor="text1"/>
          <w:sz w:val="24"/>
          <w:szCs w:val="24"/>
        </w:rPr>
        <w:fldChar w:fldCharType="begin" w:fldLock="1"/>
      </w:r>
      <w:r w:rsidR="000F0BD4" w:rsidRPr="003C2B11">
        <w:rPr>
          <w:i w:val="0"/>
          <w:iCs w:val="0"/>
          <w:color w:val="000000" w:themeColor="text1"/>
          <w:sz w:val="24"/>
          <w:szCs w:val="24"/>
        </w:rPr>
        <w:instrText>ADDIN CSL_CITATION {"citationItems":[{"id":"ITEM-1","itemData":{"DOI":"10.1073/pnas.1619527114","abstract":"The behavior of C, H, and S in the solid Earth depends on their oxidation states, which are related to oxygen fugacity (fO 2). Volcanic degassing is a source of these elements to Earth's surface; therefore, variations in mantle fO 2 may influence the fO 2 at Earth's surface. However, degassing can impact magmatic fO 2 before or during eruption , potentially obscuring relationships between the fO 2 of the solid Earth and of emitted gases and their impact on surface fO 2. We show that low-pressure degassing resulted in reduction of the fO 2 of Mauna Kea magmas by more than an order of magnitude. The least degassed magmas from Mauna Kea are more oxidized than mido-cean ridge basalt (MORB) magmas, suggesting that the upper mantle sources of Hawaiian magmas have higher fO 2 than MORB sources. One explanation for this difference is recycling of material from the oxidized surface to the deep mantle, which is then returned to the surface as a component of buoyant plumes. It has been proposed that a decreasing pressure of volcanic eruptions led to the oxygen-ation of the atmosphere. Extension of our findings via modeling of degassing trends suggests that a decrease in eruption pressure would not produce this effect. If degassing of basalts were responsible for the rise in oxygen, it requires that Archean magmas had at least two orders of magnitude lower fO 2 than modern magmas. Estimates of fO 2 of Archean magmas are not this low, arguing for alternative explanations for the oxygenation of the atmosphere. ocean island basalts | oxygen fugacity | Hawaii volcanism | volcanic degassing | Great Oxidation Event M odern arc and back-arc basin magmas have higher ratios of Fe 3+ to total Fe (i.e., Fe 3+ /[Fe 3+ +Fe 2+ ], or Fe 3+ /ΣFe), and S 6+ to total S (i.e., S 6+ /[S 6+ +S 2-], or S 6+ /ΣS), than midocean ridge basalt (MORB) magmas (1-7). Based on the known relationships between Fe 3+ /ΣFe, S 6+ /ΣS, oxygen fugacity (fO 2), and melt composition (8, 9) and on recent observations that Fe 3+ /ΣFe of subduction-related magmas are only weakly dependent on factors such as crystal−liquid fractionation and degassing (7, 10, 11), the higher Fe 3+ /ΣFe ratios of arc and back-arc basalts relative to MORBs have been attributed by most authors to elevated fO 2 in their mantle sources resulting from addition of oxidized hydrous fluids or silicate melts from subducted slabs (7, 11, 12). Ocean island basalts (OIBs) are more variable in fO 2 , with Fe 3+ /ΣFe and S 6+ /ΣS ratios th…","author":[{"dropping-particle":"","family":"Brounce","given":"Maryjo N.","non-dropping-particle":"","parse-names":false,"suffix":""},{"dropping-particle":"","family":"Stolper","given":"Edward M.","non-dropping-particle":"","parse-names":false,"suffix":""},{"dropping-particle":"","family":"Eiler","given":"John","non-dropping-particle":"","parse-names":false,"suffix":""}],"container-title":"Proceedings of the National Academy of Sciences of the United States of America","id":"ITEM-1","issued":{"date-parts":[["2017"]]},"title":"Redox variations in Mauna Kea lavas, the oxygen fugacity of the Hawaiian plume, and the role of volcanic gases in Earth's oxygenation","type":"article-journal","volume":"114"},"uris":["http://www.mendeley.com/documents/?uuid=e7030263-489c-33f8-b0f5-7c47c57d4b20"]}],"mendeley":{"formattedCitation":"(Brounce et al., 2017)","plainTextFormattedCitation":"(Brounce et al., 2017)","previouslyFormattedCitation":"(Brounce et al., 2017)"},"properties":{"noteIndex":0},"schema":"https://github.com/citation-style-language/schema/raw/master/csl-citation.json"}</w:instrText>
      </w:r>
      <w:r w:rsidRPr="003C2B11">
        <w:rPr>
          <w:i w:val="0"/>
          <w:iCs w:val="0"/>
          <w:color w:val="000000" w:themeColor="text1"/>
          <w:sz w:val="24"/>
          <w:szCs w:val="24"/>
        </w:rPr>
        <w:fldChar w:fldCharType="separate"/>
      </w:r>
      <w:r w:rsidR="000F0BD4" w:rsidRPr="003C2B11">
        <w:rPr>
          <w:i w:val="0"/>
          <w:iCs w:val="0"/>
          <w:noProof/>
          <w:color w:val="000000" w:themeColor="text1"/>
          <w:sz w:val="24"/>
          <w:szCs w:val="24"/>
        </w:rPr>
        <w:t>(Brounce et al., 2017)</w:t>
      </w:r>
      <w:r w:rsidRPr="003C2B11">
        <w:rPr>
          <w:i w:val="0"/>
          <w:iCs w:val="0"/>
          <w:color w:val="000000" w:themeColor="text1"/>
          <w:sz w:val="24"/>
          <w:szCs w:val="24"/>
        </w:rPr>
        <w:fldChar w:fldCharType="end"/>
      </w:r>
      <w:r w:rsidRPr="003C2B11">
        <w:rPr>
          <w:i w:val="0"/>
          <w:iCs w:val="0"/>
          <w:color w:val="000000" w:themeColor="text1"/>
          <w:sz w:val="24"/>
          <w:szCs w:val="24"/>
        </w:rPr>
        <w:t xml:space="preserve">, </w:t>
      </w:r>
      <w:proofErr w:type="spellStart"/>
      <w:r w:rsidRPr="003C2B11">
        <w:rPr>
          <w:i w:val="0"/>
          <w:iCs w:val="0"/>
          <w:color w:val="000000" w:themeColor="text1"/>
          <w:sz w:val="24"/>
          <w:szCs w:val="24"/>
        </w:rPr>
        <w:t>Kīlauea</w:t>
      </w:r>
      <w:proofErr w:type="spellEnd"/>
      <w:r w:rsidRPr="003C2B11">
        <w:rPr>
          <w:i w:val="0"/>
          <w:iCs w:val="0"/>
          <w:color w:val="000000" w:themeColor="text1"/>
          <w:sz w:val="24"/>
          <w:szCs w:val="24"/>
        </w:rPr>
        <w:t xml:space="preserve"> in yellow diamonds </w:t>
      </w:r>
      <w:r w:rsidRPr="003C2B11">
        <w:rPr>
          <w:i w:val="0"/>
          <w:iCs w:val="0"/>
          <w:color w:val="000000" w:themeColor="text1"/>
          <w:sz w:val="24"/>
          <w:szCs w:val="24"/>
        </w:rPr>
        <w:fldChar w:fldCharType="begin" w:fldLock="1"/>
      </w:r>
      <w:r w:rsidR="000F0BD4" w:rsidRPr="003C2B11">
        <w:rPr>
          <w:i w:val="0"/>
          <w:iCs w:val="0"/>
          <w:color w:val="000000" w:themeColor="text1"/>
          <w:sz w:val="24"/>
          <w:szCs w:val="24"/>
        </w:rPr>
        <w:instrText>ADDIN CSL_CITATION {"citationItems":[{"id":"ITEM-1","itemData":{"author":[{"dropping-particle":"","family":"Lerner","given":"Allan Henry","non-dropping-particle":"","parse-names":false,"suffix":""}],"id":"ITEM-1","issued":{"date-parts":[["2020"]]},"publisher":"University of Oregon","title":"The depths and locations of magma reservoirs and their consequences for the behavior of sulfur and volcanic degassing","type":"thesis"},"uris":["http://www.mendeley.com/documents/?uuid=98151046-14c6-3cac-bde1-b01dd08ee22c"]}],"mendeley":{"formattedCitation":"(Lerner, 2020)","plainTextFormattedCitation":"(Lerner, 2020)","previouslyFormattedCitation":"(Lerner, 2020)"},"properties":{"noteIndex":0},"schema":"https://github.com/citation-style-language/schema/raw/master/csl-citation.json"}</w:instrText>
      </w:r>
      <w:r w:rsidRPr="003C2B11">
        <w:rPr>
          <w:i w:val="0"/>
          <w:iCs w:val="0"/>
          <w:color w:val="000000" w:themeColor="text1"/>
          <w:sz w:val="24"/>
          <w:szCs w:val="24"/>
        </w:rPr>
        <w:fldChar w:fldCharType="separate"/>
      </w:r>
      <w:r w:rsidR="000F0BD4" w:rsidRPr="003C2B11">
        <w:rPr>
          <w:i w:val="0"/>
          <w:iCs w:val="0"/>
          <w:noProof/>
          <w:color w:val="000000" w:themeColor="text1"/>
          <w:sz w:val="24"/>
          <w:szCs w:val="24"/>
        </w:rPr>
        <w:t>(Lerner, 2020)</w:t>
      </w:r>
      <w:r w:rsidRPr="003C2B11">
        <w:rPr>
          <w:i w:val="0"/>
          <w:iCs w:val="0"/>
          <w:color w:val="000000" w:themeColor="text1"/>
          <w:sz w:val="24"/>
          <w:szCs w:val="24"/>
        </w:rPr>
        <w:fldChar w:fldCharType="end"/>
      </w:r>
      <w:r w:rsidRPr="003C2B11">
        <w:rPr>
          <w:i w:val="0"/>
          <w:iCs w:val="0"/>
          <w:color w:val="000000" w:themeColor="text1"/>
          <w:sz w:val="24"/>
          <w:szCs w:val="24"/>
        </w:rPr>
        <w:t xml:space="preserve">, and </w:t>
      </w:r>
      <w:bookmarkStart w:id="13" w:name="OLE_LINK1"/>
      <w:proofErr w:type="spellStart"/>
      <w:r w:rsidRPr="003C2B11">
        <w:rPr>
          <w:i w:val="0"/>
          <w:iCs w:val="0"/>
          <w:color w:val="000000" w:themeColor="text1"/>
          <w:sz w:val="24"/>
          <w:szCs w:val="24"/>
        </w:rPr>
        <w:t>Lōʻihi</w:t>
      </w:r>
      <w:bookmarkEnd w:id="13"/>
      <w:proofErr w:type="spellEnd"/>
      <w:r w:rsidRPr="003C2B11">
        <w:rPr>
          <w:i w:val="0"/>
          <w:iCs w:val="0"/>
          <w:color w:val="000000" w:themeColor="text1"/>
          <w:sz w:val="24"/>
          <w:szCs w:val="24"/>
        </w:rPr>
        <w:t xml:space="preserve"> Seamount in green circles </w:t>
      </w:r>
      <w:r w:rsidRPr="003C2B11">
        <w:rPr>
          <w:i w:val="0"/>
          <w:iCs w:val="0"/>
          <w:color w:val="000000" w:themeColor="text1"/>
          <w:sz w:val="24"/>
          <w:szCs w:val="24"/>
        </w:rPr>
        <w:fldChar w:fldCharType="begin" w:fldLock="1"/>
      </w:r>
      <w:r w:rsidR="000F0BD4" w:rsidRPr="003C2B11">
        <w:rPr>
          <w:i w:val="0"/>
          <w:iCs w:val="0"/>
          <w:color w:val="000000" w:themeColor="text1"/>
          <w:sz w:val="24"/>
          <w:szCs w:val="24"/>
        </w:rPr>
        <w:instrText>ADDIN CSL_CITATION {"citationItems":[{"id":"ITEM-1","itemData":{"DOI":"10.1016/J.GCA.2010.07.022","ISSN":"0016-7037","abstract":"XANES analyses at the sulfur K-edge were used to determine the oxidation state of S species in natural and synthetic basaltic glasses and to constrain the fO2 conditions for the transition from sulfide (S2−) to sulfate (S6+) in silicate melts. XANES spectra of basaltic samples from the Galapagos spreading center, the Juan de Fuca ridge and the Lau Basin showed a dominant broad peak at 2476.8eV, similar to the spectra obtained from synthetic sulfide-saturated basalts and pyrrhotite. An additional sharp peak at 2469.8eV, similar to that of crystalline sulfides, was present in synthetic glasses quenched from hydrous melts but absent in anhydrous glasses and may indicate differences in sulfide species with hydration or presence of minute sulfide inclusions exsolved during quenching. The XANES spectra of a basalt from the 1991 eruption of Mount Pinatubo, Philippines, and absarokitic basalts from the Cascades Range, Oregon, USA, showed a sharp peak at 2482.8eV, characteristic of synthetic sulfate-saturated basaltic glasses and crystalline sulfate-bearing minerals such as hauyne. Basaltic samples from the Lamont Seamount, the early submarine phase of Kilauea volcano and the Loihi Seamount showed unequivocal evidence of the coexistence of S2− and S6+ species, emphasizing the relevance of S6+ to these systems. XANES spectra of basaltic glasses synthesized in internally-heated pressure vessels and equilibrated at fO2 ranging from FMQ−1.4 to FMQ+2.7 showed systematic changes in the features related to S2− and S6+ with changes in fO2. No significant features related to sulfite (S4+) species were observed. These results were used to construct a function that allows estimates of S6+/ΣS from XANES data. Comparison of S6+/ΣS data obtained by S Kα shifts measured with electron probe microanalysis (EPMA), S6+/ΣS obtained from XANES spectra, and theoretical considerations show that data obtained from EPMA measurements underestimate S6+/ΣS in samples that are sulfate-dominated (most likely because of photo-reduction effects during analysis) whereas S6+/ΣS from XANES provide a close match to the expected theoretical values. The XANES-derived relationship for S6+/ΣS as a function of fO2 indicates that the transition from S2− to S6− with increasing fO2 occurs over a narrower interval than what is predicted by the EPMA-derived relationship. The implications for natural systems is that small variation of fO2 above FMQ+1 will have a large effect on S behavior in basaltic systems…","author":[{"dropping-particle":"","family":"Jugo","given":"Pedro J.","non-dropping-particle":"","parse-names":false,"suffix":""},{"dropping-particle":"","family":"Wilke","given":"Max","non-dropping-particle":"","parse-names":false,"suffix":""},{"dropping-particle":"","family":"Botcharnikov","given":"Roman E.","non-dropping-particle":"","parse-names":false,"suffix":""}],"container-title":"Geochimica et Cosmochimica Acta","id":"ITEM-1","issue":"20","issued":{"date-parts":[["2010","10","15"]]},"page":"5926-5938","publisher":"Pergamon","title":"Sulfur K-edge XANES analysis of natural and synthetic basaltic glasses: Implications for S speciation and S content as function of oxygen fugacity","type":"article-journal","volume":"74"},"uris":["http://www.mendeley.com/documents/?uuid=02e0a56a-5972-3895-873c-c073c73e7ebd"]},{"id":"ITEM-2","itemData":{"DOI":"10.1016/0016-7037(92)90316-B","ISSN":"0016-7037","abstract":"The concentration of S in basaltic magmas at 1 atm pressure is strongly dependent on temperature, the fugacities of oxygen (ƒO2) and sulfur (ƒS2), and bulk composition. Microprobe analyses of total S in rapidly quenched, submarine basalt glasses, used in conjunction with wet chemical analyses of Fe2O3FeO and its relationship to ƒo2, allow direct calculation of ƒs2 using an expression which relates dissolved sulfur content to sulfur fugacity. The relationship between S fugacity and dissolved S in a silicate liquid at 1 bar total pressure can be represented by the expression ln Xs = a ln ƒs2 − b ln ƒo2 + cln XFeO + dT + e + ΣƒiXi, where Xs is the mole fraction of dissolved S, a through ƒi are experimentally calibrated regression coefficients, and the summation is over melt components, i. Back calculation of the input data yields a standard error of 0.026 wt% S for a magma with 0.1 wt% of S. Prediction of the immiscible Fe-S-O liquid saturation surface for basaltic liquids in T-X-ƒo2-ƒs2 space is made through consideration of the heterogeneous equilibrium 12 S2(gas) + FeO(silicate melt) = FeS(sulfide melt) + 12 O2(gas), using standard state thermodynamic data. Data from natural basalt glasses demonstrate that during the differentiation and Fe enrichment of basaltic magmas, the increases in S content which are observed require the ratio ƒo2ƒs2 to decrease by 3 log10 units over the temperature range 1260 to 1050°C. This decrease is equivalent to the enthalpy change of the above reaction. Application to basalts and gases from Kilauea volcano demonstrates that during ascent, S is depleted in the magma as a result of shallow effervescence, and the gases which are evolved are in equilibrium with the magma during fire fountaining.","author":[{"dropping-particle":"","family":"Wallace","given":"Paul J.","non-dropping-particle":"","parse-names":false,"suffix":""},{"dropping-particle":"","family":"Carmichael","given":"Ian S.E.","non-dropping-particle":"","parse-names":false,"suffix":""}],"container-title":"Geochimica et Cosmochimica Acta","id":"ITEM-2","issue":"5","issued":{"date-parts":[["1992","5","1"]]},"page":"1863-1874","publisher":"Pergamon","title":"Sulfur in basaltic magmas","type":"article-journal","volume":"56"},"uris":["http://www.mendeley.com/documents/?uuid=d32d76ad-31bb-33ff-8907-b49aa7320e67"]},{"id":"ITEM-3","itemData":{"DOI":"10.1086/629501","ISSN":"0022-1376","abstract":"Major, minor, and dissolved volatile element concentrations were measured in tholeiitic glasses from the submarine portion (Puna Ridge) of the east rift zone of Kilauea Volcano, Hawaii. Dissolved $$H_{2}O$$ and S concentrations display a wide range relative to nonvolatile incompatible elements at all depths. This range cannot be readily explained by fractional crystallization, degassing of $$H_{2}O$$ and S during eruption on the seafloor, or source region heterogeneities. Dissolved $$CO_{2}$$ concentrations, in contrast, show a positive correlation with eruption depth and typically agree within error with the solubility at that depth. We propose that most magmas along the Puna Ridge result from (1) mixing of a relatively volatile-rich, unde-gassed component with magmas that experienced low pressure (perhaps subaerial) degassing during which substantial $$H_{2}O$$, S, and $$CO_{2}$$ were lost, followed by (2) fractional crystallization of olivine, clinopyroxene, and plagioclase from this mixture to generat...","author":[{"dropping-particle":"","family":"Dixon","given":"Jacqueline Eaby","non-dropping-particle":"","parse-names":false,"suffix":""},{"dropping-particle":"","family":"Clague","given":"David A.","non-dropping-particle":"","parse-names":false,"suffix":""},{"dropping-particle":"","family":"Stolper","given":"Edward M.","non-dropping-particle":"","parse-names":false,"suffix":""}],"container-title":"The Journal of Geology","id":"ITEM-3","issue":"3","issued":{"date-parts":[["1991","5","29"]]},"page":"371-394","publisher":"University of Chicago Press","title":"Degassing History of Water, Sulfur, and Carbon in Submarine Lavas from Kilauea Volcano, Hawaii","type":"article-journal","volume":"99"},"uris":["http://www.mendeley.com/documents/?uuid=064d3367-9ac1-323a-97cb-c8b6fb7228c8"]}],"mendeley":{"formattedCitation":"(Dixon et al., 1991; Jugo et al., 2010; Wallace and Carmichael, 1992)","plainTextFormattedCitation":"(Dixon et al., 1991; Jugo et al., 2010; Wallace and Carmichael, 1992)","previouslyFormattedCitation":"(Dixon et al., 1991; Jugo et al., 2010; Wallace and Carmichael, 1992)"},"properties":{"noteIndex":0},"schema":"https://github.com/citation-style-language/schema/raw/master/csl-citation.json"}</w:instrText>
      </w:r>
      <w:r w:rsidRPr="003C2B11">
        <w:rPr>
          <w:i w:val="0"/>
          <w:iCs w:val="0"/>
          <w:color w:val="000000" w:themeColor="text1"/>
          <w:sz w:val="24"/>
          <w:szCs w:val="24"/>
        </w:rPr>
        <w:fldChar w:fldCharType="separate"/>
      </w:r>
      <w:r w:rsidR="000F0BD4" w:rsidRPr="003C2B11">
        <w:rPr>
          <w:i w:val="0"/>
          <w:iCs w:val="0"/>
          <w:noProof/>
          <w:color w:val="000000" w:themeColor="text1"/>
          <w:sz w:val="24"/>
          <w:szCs w:val="24"/>
        </w:rPr>
        <w:t>(Dixon et al., 1991; Jugo et al., 2010; Wallace and Carmichael, 1992)</w:t>
      </w:r>
      <w:r w:rsidRPr="003C2B11">
        <w:rPr>
          <w:i w:val="0"/>
          <w:iCs w:val="0"/>
          <w:color w:val="000000" w:themeColor="text1"/>
          <w:sz w:val="24"/>
          <w:szCs w:val="24"/>
        </w:rPr>
        <w:fldChar w:fldCharType="end"/>
      </w:r>
      <w:r w:rsidRPr="003C2B11">
        <w:rPr>
          <w:i w:val="0"/>
          <w:iCs w:val="0"/>
          <w:color w:val="000000" w:themeColor="text1"/>
          <w:sz w:val="24"/>
          <w:szCs w:val="24"/>
        </w:rPr>
        <w:t>. Modelled temperature dependence for the</w:t>
      </w:r>
      <w:r w:rsidR="001270E8">
        <w:rPr>
          <w:i w:val="0"/>
          <w:iCs w:val="0"/>
          <w:color w:val="000000" w:themeColor="text1"/>
          <w:sz w:val="24"/>
          <w:szCs w:val="24"/>
        </w:rPr>
        <w:t xml:space="preserve"> </w:t>
      </w:r>
      <w:proofErr w:type="spellStart"/>
      <w:r w:rsidR="001270E8">
        <w:rPr>
          <w:i w:val="0"/>
          <w:iCs w:val="0"/>
          <w:color w:val="000000" w:themeColor="text1"/>
          <w:sz w:val="24"/>
          <w:szCs w:val="24"/>
        </w:rPr>
        <w:t>sulfate</w:t>
      </w:r>
      <w:proofErr w:type="spellEnd"/>
      <w:r w:rsidR="001270E8">
        <w:rPr>
          <w:i w:val="0"/>
          <w:iCs w:val="0"/>
          <w:color w:val="000000" w:themeColor="text1"/>
          <w:sz w:val="24"/>
          <w:szCs w:val="24"/>
        </w:rPr>
        <w:t xml:space="preserve"> capacity of the</w:t>
      </w:r>
      <w:r w:rsidRPr="003C2B11">
        <w:rPr>
          <w:i w:val="0"/>
          <w:iCs w:val="0"/>
          <w:color w:val="000000" w:themeColor="text1"/>
          <w:sz w:val="24"/>
          <w:szCs w:val="24"/>
        </w:rPr>
        <w:t xml:space="preserve"> Hawaiian tholeiite in Table S1 using</w:t>
      </w:r>
      <w:r w:rsidR="00E5038F">
        <w:rPr>
          <w:i w:val="0"/>
          <w:iCs w:val="0"/>
          <w:color w:val="000000" w:themeColor="text1"/>
          <w:sz w:val="24"/>
          <w:szCs w:val="24"/>
        </w:rPr>
        <w:t xml:space="preserve"> parameterisations by</w:t>
      </w:r>
      <w:r w:rsidRPr="003C2B11">
        <w:rPr>
          <w:i w:val="0"/>
          <w:iCs w:val="0"/>
          <w:color w:val="000000" w:themeColor="text1"/>
          <w:sz w:val="24"/>
          <w:szCs w:val="24"/>
        </w:rPr>
        <w:t xml:space="preserve"> </w:t>
      </w:r>
      <w:r w:rsidRPr="003C2B11">
        <w:rPr>
          <w:i w:val="0"/>
          <w:iCs w:val="0"/>
          <w:color w:val="000000" w:themeColor="text1"/>
          <w:sz w:val="24"/>
          <w:szCs w:val="24"/>
        </w:rPr>
        <w:fldChar w:fldCharType="begin" w:fldLock="1"/>
      </w:r>
      <w:r w:rsidR="000F0BD4" w:rsidRPr="003C2B11">
        <w:rPr>
          <w:i w:val="0"/>
          <w:iCs w:val="0"/>
          <w:color w:val="000000" w:themeColor="text1"/>
          <w:sz w:val="24"/>
          <w:szCs w:val="24"/>
        </w:rPr>
        <w:instrText xml:space="preserve">ADDIN CSL_CITATION {"citationItems":[{"id":"ITEM-1","itemData":{"DOI":"10.1016/J.EPSL.2018.12.006","ISSN":"0012-821X","abstract":"We have determined the chemical speciation of dissolved sulfur and the sulfur concentration at fixed oxygen and sulfur fugacities for a wide range of silicate melt compositions (from Fe-rich basalt to dacite). Each melt was equilibrated at 1300°C and 1-atmosphere pressure at oxygen fugacities (fO2) between −1.67 and +1.6 log units relative to the Fayalite–Magnetite–Quartz (FMQ) buffer and absolute sulfur fugacities between −5.1 and −1.2 log units. The fO2 and fS2 of the experiments were controlled by using gas mixtures of CO–CO2–SO2. The speciation of sulfur in the quenched glasses was determined using both X-ray Absorption Near-Edge Spectroscopy (XANES), and from the dependence of equilibrium sulfur concentration on the fS2/fO2 ratio measured by secondary-ion mass spectrometry (SIMS) and electron microprobe. The speciation of dissolved sulfur in each melt undergoes an abrupt transformation from S2− to S6+ with increasing fO2, and this transition is shifted </w:instrText>
      </w:r>
      <w:r w:rsidR="000F0BD4" w:rsidRPr="003C2B11">
        <w:rPr>
          <w:rFonts w:ascii="Cambria Math" w:hAnsi="Cambria Math" w:cs="Cambria Math"/>
          <w:i w:val="0"/>
          <w:iCs w:val="0"/>
          <w:color w:val="000000" w:themeColor="text1"/>
          <w:sz w:val="24"/>
          <w:szCs w:val="24"/>
        </w:rPr>
        <w:instrText>∼</w:instrText>
      </w:r>
      <w:r w:rsidR="000F0BD4" w:rsidRPr="003C2B11">
        <w:rPr>
          <w:i w:val="0"/>
          <w:iCs w:val="0"/>
          <w:color w:val="000000" w:themeColor="text1"/>
          <w:sz w:val="24"/>
          <w:szCs w:val="24"/>
        </w:rPr>
        <w:instrText xml:space="preserve">0.5 log units higher in fO2 as melt FeO concentration increases from </w:instrText>
      </w:r>
      <w:r w:rsidR="000F0BD4" w:rsidRPr="003C2B11">
        <w:rPr>
          <w:rFonts w:ascii="Cambria Math" w:hAnsi="Cambria Math" w:cs="Cambria Math"/>
          <w:i w:val="0"/>
          <w:iCs w:val="0"/>
          <w:color w:val="000000" w:themeColor="text1"/>
          <w:sz w:val="24"/>
          <w:szCs w:val="24"/>
        </w:rPr>
        <w:instrText>∼</w:instrText>
      </w:r>
      <w:r w:rsidR="000F0BD4" w:rsidRPr="003C2B11">
        <w:rPr>
          <w:i w:val="0"/>
          <w:iCs w:val="0"/>
          <w:color w:val="000000" w:themeColor="text1"/>
          <w:sz w:val="24"/>
          <w:szCs w:val="24"/>
        </w:rPr>
        <w:instrText xml:space="preserve">5 wt% to </w:instrText>
      </w:r>
      <w:r w:rsidR="000F0BD4" w:rsidRPr="003C2B11">
        <w:rPr>
          <w:rFonts w:ascii="Cambria Math" w:hAnsi="Cambria Math" w:cs="Cambria Math"/>
          <w:i w:val="0"/>
          <w:iCs w:val="0"/>
          <w:color w:val="000000" w:themeColor="text1"/>
          <w:sz w:val="24"/>
          <w:szCs w:val="24"/>
        </w:rPr>
        <w:instrText>∼</w:instrText>
      </w:r>
      <w:r w:rsidR="000F0BD4" w:rsidRPr="003C2B11">
        <w:rPr>
          <w:i w:val="0"/>
          <w:iCs w:val="0"/>
          <w:color w:val="000000" w:themeColor="text1"/>
          <w:sz w:val="24"/>
          <w:szCs w:val="24"/>
        </w:rPr>
        <w:instrText>18 wt%. Since sulfide concentrations at constant fO2 and fS2 are consistently greater for more FeO-rich melts, the compositional effect on speciation may be explained by the well-known sensitivity of the sulfide capacity (CS2−) of the melt to FeO concentration. S6+/S2− ratios for the glasses exhibit a linear relationship with Fe3+/Fe2+, indicating that the redox couples for iron and sulfur can be directly related to one another. We used thermodynamic data to model the interrelationship between Fe and S oxidation states in terms of the equilibriumFeS+8FeO1.5=8FeO+FeSO4 Fitting the data to our experiments at 1300°C we obtained the following expression for the temperature-dependence of speciation:log⁡(S6+S2−)=8log⁡(Fe3+Fe2+)+8.7436×106T2−27703T+20.273 This equation fits the data for all our compositions and is also consistent with earlier results at 1050°C and 950°C. We used the interdependence of S and Fe oxidation states to infer electron transfer between Fe2+ and S6+ during quenching of glasses from Mauna Kea, Hawaii. The effect is sufficient to cause significant overestimation of equilibrium Fe3+/ΣFe in natural glasses and corresponding overestimate of fO2 by about 0.8 log units. Glasses equilibrated under the most oxidizing conditions (containing S6+ only) have equilibrium S concentrations that are negatively correlated with their mole fractions of tetrahedral (Si + Ti) cations.","author":[{"dropping-particle":"","family":"Nash","given":"William M.","non-dropping-particle":"","parse-names":false,"suffix":""},{"dropping-particle":"","family":"Smythe","given":"Duane J.","non-dropping-particle":"","parse-names":false,"suffix":""},{"dropping-particle":"","family":"Wood","given":"Bernard J.","non-dropping-particle":"","parse-names":false,"suffix":""}],"container-title":"Earth and Planetary Science Letters","id":"ITEM-1","issued":{"date-parts":[["2019","2","1"]]},"page":"187-198","publisher":"Elsevier","title":"Compositional and temperature effects on sulfur speciation and solubility in silicate melts","type":"article-journal","volume":"507"},"uris":["http://www.mendeley.com/documents/?uuid=992cf628-d31a-39e9-9a21-2733c4817579"]}],"mendeley":{"formattedCitation":"(Nash et al., 2019)","manualFormatting":"Nash et al. (2019)","plainTextFormattedCitation":"(Nash et al., 2019)","previouslyFormattedCitation":"(Nash et al., 2019)"},"properties":{"noteIndex":0},"schema":"https://github.com/citation-style-language/schema/raw/master/csl-citation.json"}</w:instrText>
      </w:r>
      <w:r w:rsidRPr="003C2B11">
        <w:rPr>
          <w:i w:val="0"/>
          <w:iCs w:val="0"/>
          <w:color w:val="000000" w:themeColor="text1"/>
          <w:sz w:val="24"/>
          <w:szCs w:val="24"/>
        </w:rPr>
        <w:fldChar w:fldCharType="separate"/>
      </w:r>
      <w:r w:rsidRPr="003C2B11">
        <w:rPr>
          <w:i w:val="0"/>
          <w:iCs w:val="0"/>
          <w:noProof/>
          <w:color w:val="000000" w:themeColor="text1"/>
          <w:sz w:val="24"/>
          <w:szCs w:val="24"/>
        </w:rPr>
        <w:t xml:space="preserve">Nash </w:t>
      </w:r>
      <w:r w:rsidRPr="003C2B11">
        <w:rPr>
          <w:iCs w:val="0"/>
          <w:noProof/>
          <w:color w:val="000000" w:themeColor="text1"/>
          <w:sz w:val="24"/>
          <w:szCs w:val="24"/>
        </w:rPr>
        <w:t>et al.</w:t>
      </w:r>
      <w:r w:rsidRPr="003C2B11">
        <w:rPr>
          <w:i w:val="0"/>
          <w:iCs w:val="0"/>
          <w:noProof/>
          <w:color w:val="000000" w:themeColor="text1"/>
          <w:sz w:val="24"/>
          <w:szCs w:val="24"/>
        </w:rPr>
        <w:t xml:space="preserve"> (2019)</w:t>
      </w:r>
      <w:r w:rsidRPr="003C2B11">
        <w:rPr>
          <w:i w:val="0"/>
          <w:iCs w:val="0"/>
          <w:color w:val="000000" w:themeColor="text1"/>
          <w:sz w:val="24"/>
          <w:szCs w:val="24"/>
        </w:rPr>
        <w:fldChar w:fldCharType="end"/>
      </w:r>
      <w:r w:rsidRPr="003C2B11">
        <w:rPr>
          <w:i w:val="0"/>
          <w:iCs w:val="0"/>
          <w:color w:val="000000" w:themeColor="text1"/>
          <w:sz w:val="24"/>
          <w:szCs w:val="24"/>
        </w:rPr>
        <w:t xml:space="preserve"> (</w:t>
      </w:r>
      <w:r w:rsidR="00FF17A8" w:rsidRPr="003C2B11">
        <w:rPr>
          <w:i w:val="0"/>
          <w:iCs w:val="0"/>
          <w:color w:val="000000" w:themeColor="text1"/>
          <w:sz w:val="24"/>
          <w:szCs w:val="24"/>
        </w:rPr>
        <w:t xml:space="preserve">N+19, </w:t>
      </w:r>
      <w:r w:rsidRPr="003C2B11">
        <w:rPr>
          <w:i w:val="0"/>
          <w:iCs w:val="0"/>
          <w:color w:val="000000" w:themeColor="text1"/>
          <w:sz w:val="24"/>
          <w:szCs w:val="24"/>
        </w:rPr>
        <w:t xml:space="preserve">black </w:t>
      </w:r>
      <w:r w:rsidR="00FF17A8" w:rsidRPr="003C2B11">
        <w:rPr>
          <w:i w:val="0"/>
          <w:iCs w:val="0"/>
          <w:color w:val="000000" w:themeColor="text1"/>
          <w:sz w:val="24"/>
          <w:szCs w:val="24"/>
        </w:rPr>
        <w:t>long-</w:t>
      </w:r>
      <w:r w:rsidRPr="003C2B11">
        <w:rPr>
          <w:i w:val="0"/>
          <w:iCs w:val="0"/>
          <w:color w:val="000000" w:themeColor="text1"/>
          <w:sz w:val="24"/>
          <w:szCs w:val="24"/>
        </w:rPr>
        <w:t>dashed curve)</w:t>
      </w:r>
      <w:r w:rsidR="00FF17A8" w:rsidRPr="003C2B11">
        <w:rPr>
          <w:i w:val="0"/>
          <w:iCs w:val="0"/>
          <w:color w:val="000000" w:themeColor="text1"/>
          <w:sz w:val="24"/>
          <w:szCs w:val="24"/>
        </w:rPr>
        <w:t>,</w:t>
      </w:r>
      <w:r w:rsidR="000F0BD4" w:rsidRPr="003C2B11">
        <w:rPr>
          <w:i w:val="0"/>
          <w:iCs w:val="0"/>
          <w:color w:val="000000" w:themeColor="text1"/>
          <w:sz w:val="24"/>
          <w:szCs w:val="24"/>
        </w:rPr>
        <w:t xml:space="preserve"> </w:t>
      </w:r>
      <w:r w:rsidR="000F0BD4" w:rsidRPr="003C2B11">
        <w:rPr>
          <w:rFonts w:ascii="Times New Roman" w:hAnsi="Times New Roman" w:cs="Times New Roman"/>
          <w:i w:val="0"/>
          <w:iCs w:val="0"/>
          <w:color w:val="000000" w:themeColor="text1"/>
          <w:sz w:val="24"/>
          <w:szCs w:val="24"/>
        </w:rPr>
        <w:fldChar w:fldCharType="begin" w:fldLock="1"/>
      </w:r>
      <w:r w:rsidR="003910EA">
        <w:rPr>
          <w:rFonts w:ascii="Times New Roman" w:hAnsi="Times New Roman" w:cs="Times New Roman"/>
          <w:i w:val="0"/>
          <w:iCs w:val="0"/>
          <w:color w:val="000000" w:themeColor="text1"/>
          <w:sz w:val="24"/>
          <w:szCs w:val="24"/>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0F0BD4" w:rsidRPr="003C2B11">
        <w:rPr>
          <w:rFonts w:ascii="Times New Roman" w:hAnsi="Times New Roman" w:cs="Times New Roman"/>
          <w:i w:val="0"/>
          <w:iCs w:val="0"/>
          <w:color w:val="000000" w:themeColor="text1"/>
          <w:sz w:val="24"/>
          <w:szCs w:val="24"/>
        </w:rPr>
        <w:fldChar w:fldCharType="separate"/>
      </w:r>
      <w:r w:rsidR="003C2B11" w:rsidRPr="003C2B11">
        <w:rPr>
          <w:rFonts w:ascii="Times New Roman" w:hAnsi="Times New Roman" w:cs="Times New Roman"/>
          <w:i w:val="0"/>
          <w:iCs w:val="0"/>
          <w:noProof/>
          <w:color w:val="000000" w:themeColor="text1"/>
          <w:sz w:val="24"/>
          <w:szCs w:val="24"/>
        </w:rPr>
        <w:t xml:space="preserve">Hughes et al. </w:t>
      </w:r>
      <w:r w:rsidR="003C2B11">
        <w:rPr>
          <w:rFonts w:ascii="Times New Roman" w:hAnsi="Times New Roman" w:cs="Times New Roman"/>
          <w:i w:val="0"/>
          <w:iCs w:val="0"/>
          <w:noProof/>
          <w:color w:val="000000" w:themeColor="text1"/>
          <w:sz w:val="24"/>
          <w:szCs w:val="24"/>
        </w:rPr>
        <w:t>(</w:t>
      </w:r>
      <w:r w:rsidR="003C2B11" w:rsidRPr="003C2B11">
        <w:rPr>
          <w:rFonts w:ascii="Times New Roman" w:hAnsi="Times New Roman" w:cs="Times New Roman"/>
          <w:i w:val="0"/>
          <w:iCs w:val="0"/>
          <w:noProof/>
          <w:color w:val="000000" w:themeColor="text1"/>
          <w:sz w:val="24"/>
          <w:szCs w:val="24"/>
        </w:rPr>
        <w:t>2023)</w:t>
      </w:r>
      <w:r w:rsidR="000F0BD4" w:rsidRPr="003C2B11">
        <w:rPr>
          <w:rFonts w:ascii="Times New Roman" w:hAnsi="Times New Roman" w:cs="Times New Roman"/>
          <w:i w:val="0"/>
          <w:iCs w:val="0"/>
          <w:color w:val="000000" w:themeColor="text1"/>
          <w:sz w:val="24"/>
          <w:szCs w:val="24"/>
        </w:rPr>
        <w:fldChar w:fldCharType="end"/>
      </w:r>
      <w:r w:rsidRPr="003C2B11">
        <w:rPr>
          <w:i w:val="0"/>
          <w:iCs w:val="0"/>
          <w:color w:val="000000" w:themeColor="text1"/>
          <w:sz w:val="24"/>
          <w:szCs w:val="24"/>
        </w:rPr>
        <w:t xml:space="preserve"> (</w:t>
      </w:r>
      <w:r w:rsidR="00FF17A8" w:rsidRPr="003C2B11">
        <w:rPr>
          <w:i w:val="0"/>
          <w:iCs w:val="0"/>
          <w:color w:val="000000" w:themeColor="text1"/>
          <w:sz w:val="24"/>
          <w:szCs w:val="24"/>
        </w:rPr>
        <w:t>H+</w:t>
      </w:r>
      <w:r w:rsidR="004334A9" w:rsidRPr="003C2B11">
        <w:rPr>
          <w:i w:val="0"/>
          <w:iCs w:val="0"/>
          <w:color w:val="000000" w:themeColor="text1"/>
          <w:sz w:val="24"/>
          <w:szCs w:val="24"/>
        </w:rPr>
        <w:t>23</w:t>
      </w:r>
      <w:r w:rsidR="00FF17A8" w:rsidRPr="003C2B11">
        <w:rPr>
          <w:i w:val="0"/>
          <w:iCs w:val="0"/>
          <w:color w:val="000000" w:themeColor="text1"/>
          <w:sz w:val="24"/>
          <w:szCs w:val="24"/>
        </w:rPr>
        <w:t xml:space="preserve">, </w:t>
      </w:r>
      <w:r w:rsidRPr="003C2B11">
        <w:rPr>
          <w:i w:val="0"/>
          <w:iCs w:val="0"/>
          <w:color w:val="000000" w:themeColor="text1"/>
          <w:sz w:val="24"/>
          <w:szCs w:val="24"/>
        </w:rPr>
        <w:t>solid black curve)</w:t>
      </w:r>
      <w:r w:rsidR="00FF17A8" w:rsidRPr="003C2B11">
        <w:rPr>
          <w:i w:val="0"/>
          <w:iCs w:val="0"/>
          <w:color w:val="000000" w:themeColor="text1"/>
          <w:sz w:val="24"/>
          <w:szCs w:val="24"/>
        </w:rPr>
        <w:t>,</w:t>
      </w:r>
      <w:r w:rsidR="000F0BD4" w:rsidRPr="003C2B11">
        <w:rPr>
          <w:i w:val="0"/>
          <w:iCs w:val="0"/>
          <w:color w:val="000000" w:themeColor="text1"/>
          <w:sz w:val="24"/>
          <w:szCs w:val="24"/>
        </w:rPr>
        <w:t xml:space="preserve"> </w:t>
      </w:r>
      <w:r w:rsidR="000F0BD4" w:rsidRPr="003C2B11">
        <w:rPr>
          <w:i w:val="0"/>
          <w:iCs w:val="0"/>
          <w:color w:val="000000" w:themeColor="text1"/>
          <w:sz w:val="24"/>
          <w:szCs w:val="24"/>
        </w:rPr>
        <w:fldChar w:fldCharType="begin" w:fldLock="1"/>
      </w:r>
      <w:r w:rsidR="00923A61" w:rsidRPr="003C2B11">
        <w:rPr>
          <w:i w:val="0"/>
          <w:iCs w:val="0"/>
          <w:color w:val="000000" w:themeColor="text1"/>
          <w:sz w:val="24"/>
          <w:szCs w:val="24"/>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melts","type":"article-journal"},"uris":["http://www.mendeley.com/documents/?uuid=28383afe-41b6-312f-a795-212a394fed74"]}],"mendeley":{"formattedCitation":"(O’Neill and Mavrogenes, 2022)","manualFormatting":"O’Neill and Mavrogenes (2022)","plainTextFormattedCitation":"(O’Neill and Mavrogenes, 2022)","previouslyFormattedCitation":"(O’Neill and Mavrogenes, 2022)"},"properties":{"noteIndex":0},"schema":"https://github.com/citation-style-language/schema/raw/master/csl-citation.json"}</w:instrText>
      </w:r>
      <w:r w:rsidR="000F0BD4" w:rsidRPr="003C2B11">
        <w:rPr>
          <w:i w:val="0"/>
          <w:iCs w:val="0"/>
          <w:color w:val="000000" w:themeColor="text1"/>
          <w:sz w:val="24"/>
          <w:szCs w:val="24"/>
        </w:rPr>
        <w:fldChar w:fldCharType="separate"/>
      </w:r>
      <w:r w:rsidR="000F0BD4" w:rsidRPr="003C2B11">
        <w:rPr>
          <w:i w:val="0"/>
          <w:iCs w:val="0"/>
          <w:noProof/>
          <w:color w:val="000000" w:themeColor="text1"/>
          <w:sz w:val="24"/>
          <w:szCs w:val="24"/>
        </w:rPr>
        <w:t>O’Neill and Mavrogenes (2022)</w:t>
      </w:r>
      <w:r w:rsidR="000F0BD4" w:rsidRPr="003C2B11">
        <w:rPr>
          <w:i w:val="0"/>
          <w:iCs w:val="0"/>
          <w:color w:val="000000" w:themeColor="text1"/>
          <w:sz w:val="24"/>
          <w:szCs w:val="24"/>
        </w:rPr>
        <w:fldChar w:fldCharType="end"/>
      </w:r>
      <w:r w:rsidR="00FF17A8" w:rsidRPr="003C2B11">
        <w:rPr>
          <w:i w:val="0"/>
          <w:iCs w:val="0"/>
          <w:color w:val="000000" w:themeColor="text1"/>
          <w:sz w:val="24"/>
          <w:szCs w:val="24"/>
        </w:rPr>
        <w:t xml:space="preserve"> (OM22, black short-dashed curve), and</w:t>
      </w:r>
      <w:r w:rsidR="000F0BD4" w:rsidRPr="003C2B11">
        <w:rPr>
          <w:i w:val="0"/>
          <w:iCs w:val="0"/>
          <w:color w:val="000000" w:themeColor="text1"/>
          <w:sz w:val="24"/>
          <w:szCs w:val="24"/>
        </w:rPr>
        <w:t xml:space="preserve"> </w:t>
      </w:r>
      <w:r w:rsidR="000F0BD4" w:rsidRPr="003C2B11">
        <w:rPr>
          <w:i w:val="0"/>
          <w:iCs w:val="0"/>
          <w:color w:val="000000" w:themeColor="text1"/>
          <w:sz w:val="24"/>
          <w:szCs w:val="24"/>
        </w:rPr>
        <w:fldChar w:fldCharType="begin" w:fldLock="1"/>
      </w:r>
      <w:r w:rsidR="00D61BC9" w:rsidRPr="003C2B11">
        <w:rPr>
          <w:i w:val="0"/>
          <w:iCs w:val="0"/>
          <w:color w:val="000000" w:themeColor="text1"/>
          <w:sz w:val="24"/>
          <w:szCs w:val="24"/>
        </w:rPr>
        <w:instrText>ADDIN CSL_CITATION {"citationItems":[{"id":"ITEM-1","itemData":{"DOI":"10.1016/j.gca.2022.08.032","author":[{"dropping-particle":"","family":"Boulliung","given":"Julien","non-dropping-particle":"","parse-names":false,"suffix":""},{"dropping-particle":"","family":"Wood","given":"Bernard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150-164","id":"ITEM-1","issued":{"date-parts":[["2022"]]},"page":"150-164","title":"SO2 solubility and degassing behavior in silicate melts","type":"article-journal","volume":"336"},"uris":["http://www.mendeley.com/documents/?uuid=7eb4d60b-d94d-440e-bd68-afce2f65efa3"]}],"mendeley":{"formattedCitation":"(Boulliung and Wood, 2022)","manualFormatting":"Boulliung and Wood (2022)","plainTextFormattedCitation":"(Boulliung and Wood, 2022)","previouslyFormattedCitation":"(Boulliung and Wood, 2022)"},"properties":{"noteIndex":0},"schema":"https://github.com/citation-style-language/schema/raw/master/csl-citation.json"}</w:instrText>
      </w:r>
      <w:r w:rsidR="000F0BD4" w:rsidRPr="003C2B11">
        <w:rPr>
          <w:i w:val="0"/>
          <w:iCs w:val="0"/>
          <w:color w:val="000000" w:themeColor="text1"/>
          <w:sz w:val="24"/>
          <w:szCs w:val="24"/>
        </w:rPr>
        <w:fldChar w:fldCharType="separate"/>
      </w:r>
      <w:r w:rsidR="004334A9" w:rsidRPr="003C2B11">
        <w:rPr>
          <w:i w:val="0"/>
          <w:iCs w:val="0"/>
          <w:noProof/>
          <w:color w:val="000000" w:themeColor="text1"/>
          <w:sz w:val="24"/>
          <w:szCs w:val="24"/>
        </w:rPr>
        <w:t xml:space="preserve">Boulliung and Wood </w:t>
      </w:r>
      <w:r w:rsidR="00D565F5" w:rsidRPr="003C2B11">
        <w:rPr>
          <w:i w:val="0"/>
          <w:iCs w:val="0"/>
          <w:noProof/>
          <w:color w:val="000000" w:themeColor="text1"/>
          <w:sz w:val="24"/>
          <w:szCs w:val="24"/>
        </w:rPr>
        <w:t>(</w:t>
      </w:r>
      <w:r w:rsidR="004334A9" w:rsidRPr="003C2B11">
        <w:rPr>
          <w:i w:val="0"/>
          <w:iCs w:val="0"/>
          <w:noProof/>
          <w:color w:val="000000" w:themeColor="text1"/>
          <w:sz w:val="24"/>
          <w:szCs w:val="24"/>
        </w:rPr>
        <w:t>2022)</w:t>
      </w:r>
      <w:r w:rsidR="000F0BD4" w:rsidRPr="003C2B11">
        <w:rPr>
          <w:i w:val="0"/>
          <w:iCs w:val="0"/>
          <w:color w:val="000000" w:themeColor="text1"/>
          <w:sz w:val="24"/>
          <w:szCs w:val="24"/>
        </w:rPr>
        <w:fldChar w:fldCharType="end"/>
      </w:r>
      <w:r w:rsidR="00FF17A8" w:rsidRPr="003C2B11">
        <w:rPr>
          <w:i w:val="0"/>
          <w:iCs w:val="0"/>
          <w:color w:val="000000" w:themeColor="text1"/>
          <w:sz w:val="24"/>
          <w:szCs w:val="24"/>
        </w:rPr>
        <w:t xml:space="preserve"> (BW</w:t>
      </w:r>
      <w:r w:rsidR="00320542" w:rsidRPr="003C2B11">
        <w:rPr>
          <w:i w:val="0"/>
          <w:iCs w:val="0"/>
          <w:color w:val="000000" w:themeColor="text1"/>
          <w:sz w:val="24"/>
          <w:szCs w:val="24"/>
        </w:rPr>
        <w:t>22</w:t>
      </w:r>
      <w:r w:rsidR="00FF17A8" w:rsidRPr="003C2B11">
        <w:rPr>
          <w:i w:val="0"/>
          <w:iCs w:val="0"/>
          <w:color w:val="000000" w:themeColor="text1"/>
          <w:sz w:val="24"/>
          <w:szCs w:val="24"/>
        </w:rPr>
        <w:t>, black dot-dash curve</w:t>
      </w:r>
      <w:r w:rsidR="00D565F5" w:rsidRPr="003C2B11">
        <w:rPr>
          <w:i w:val="0"/>
          <w:iCs w:val="0"/>
          <w:color w:val="000000" w:themeColor="text1"/>
          <w:sz w:val="24"/>
          <w:szCs w:val="24"/>
        </w:rPr>
        <w:t xml:space="preserve"> – uses the version in </w:t>
      </w:r>
      <w:r w:rsidR="003C2B11">
        <w:rPr>
          <w:i w:val="0"/>
          <w:iCs w:val="0"/>
          <w:color w:val="000000" w:themeColor="text1"/>
          <w:sz w:val="24"/>
          <w:szCs w:val="24"/>
        </w:rPr>
        <w:fldChar w:fldCharType="begin" w:fldLock="1"/>
      </w:r>
      <w:r w:rsidR="003943E8">
        <w:rPr>
          <w:i w:val="0"/>
          <w:iCs w:val="0"/>
          <w:color w:val="000000" w:themeColor="text1"/>
          <w:sz w:val="24"/>
          <w:szCs w:val="24"/>
        </w:rPr>
        <w:instrText>ADDIN CSL_CITATION {"citationItems":[{"id":"ITEM-1","itemData":{"DOI":"10.1016/J.GCA.2022.11.025","ISSN":"0016-7037","abstract":"The authors regret that due to a small error in our input data to the SPSS statistical program (in Boulliung and Wood, 2022), Eq. (5) does not constitute a true best-fit to our experimental data. Although the errors from use of our Eq. (5) are small, generally of the order of 0.2 in log CS6+ we opt to correct the equation here. For completeness, we have separated FeO and Fe2O3 using the equations of Kress and Carmichael (1991). We also note from O'Neill and Mavrogenes (2002) that the form of Eq. (5) can be derived from reciprocal solution theory by assuming the mixing units are single oxygen components Si0.5O, FeO, Fe0.67O, Na2O, etc. We therefore fitted log CS6+ (from Table 3) to a combination of terms in oxide mole fraction on a single oxygen basis (e.g., Si0.5O, FeO, Al0.67O) and reciprocal temperature. The method involved stepwise linear regression using the SPSS statistical package with terms which did not pass the F-test at α = 0.05 excluded. Because log CS6+ is directly related to log K (equilibrium constant) the temperature dependence is, as with log K, reciprocal temperature. In order to ensure that the compositional terms approach zero at infinite temperature the oxide mole fractions were also divided by temperature. This approach resulted in the following fit Eq. (5): [Formula presented] The standard error of the fit is 0.140 and R2 is 0.988. All 7 parameters have moderate t-test values &gt;2.5 and p values below 0.02 indicating significance at greater than 95% level. A spreadsheet based on Eq. (5) is available from the authors on request. For comparison with our original paper we also re-fit the data using the original approach based on single cation oxide mole fractions (e.g., SiO2 FeO, FeO1.5), but with FeO and FeO1.5 treated as separate components as above. Using stepwise linear regression we obtained: [Formula presented] The standard error of this fit is 0.140 and R2 is 0.987 and is hence virtually identical to that based on single oxygen components. Note that in order to use this equation it is necessary to calculate FeO and FeO1.5 concentrations using Kress and Carmichael (1991). The authors would like to apologise for any inconvenience caused.","author":[{"dropping-particle":"","family":"Boulliung","given":"Julien","non-dropping-particle":"","parse-names":false,"suffix":""},{"dropping-particle":"","family":"Wood","given":"Bernard J.","non-dropping-particle":"","parse-names":false,"suffix":""}],"container-title":"Geochimica et Cosmochimica Acta","id":"ITEM-1","issued":{"date-parts":[["2023","2","15"]]},"page":"420","publisher":"Pergamon","title":"Corrigendum to “SO2 solubility and degassing behavior in silicate melts” [Geochim. Cosmochim. Acta 336 (2022) 150–164]","type":"article-journal","volume":"343"},"uris":["http://www.mendeley.com/documents/?uuid=f4cf1eb2-5b43-3647-971e-4f6151a11570"]}],"mendeley":{"formattedCitation":"(Boulliung and Wood, 2023)","manualFormatting":"Boulliung and Wood, 2023)","plainTextFormattedCitation":"(Boulliung and Wood, 2023)","previouslyFormattedCitation":"(Boulliung and Wood, 2023)"},"properties":{"noteIndex":0},"schema":"https://github.com/citation-style-language/schema/raw/master/csl-citation.json"}</w:instrText>
      </w:r>
      <w:r w:rsidR="003C2B11">
        <w:rPr>
          <w:i w:val="0"/>
          <w:iCs w:val="0"/>
          <w:color w:val="000000" w:themeColor="text1"/>
          <w:sz w:val="24"/>
          <w:szCs w:val="24"/>
        </w:rPr>
        <w:fldChar w:fldCharType="separate"/>
      </w:r>
      <w:r w:rsidR="003C2B11" w:rsidRPr="003C2B11">
        <w:rPr>
          <w:i w:val="0"/>
          <w:iCs w:val="0"/>
          <w:noProof/>
          <w:color w:val="000000" w:themeColor="text1"/>
          <w:sz w:val="24"/>
          <w:szCs w:val="24"/>
        </w:rPr>
        <w:t>Boulliung and Wood</w:t>
      </w:r>
      <w:r w:rsidR="003943E8">
        <w:rPr>
          <w:i w:val="0"/>
          <w:iCs w:val="0"/>
          <w:noProof/>
          <w:color w:val="000000" w:themeColor="text1"/>
          <w:sz w:val="24"/>
          <w:szCs w:val="24"/>
        </w:rPr>
        <w:t>,</w:t>
      </w:r>
      <w:r w:rsidR="003C2B11" w:rsidRPr="003C2B11">
        <w:rPr>
          <w:i w:val="0"/>
          <w:iCs w:val="0"/>
          <w:noProof/>
          <w:color w:val="000000" w:themeColor="text1"/>
          <w:sz w:val="24"/>
          <w:szCs w:val="24"/>
        </w:rPr>
        <w:t xml:space="preserve"> 2023)</w:t>
      </w:r>
      <w:r w:rsidR="003C2B11">
        <w:rPr>
          <w:i w:val="0"/>
          <w:iCs w:val="0"/>
          <w:color w:val="000000" w:themeColor="text1"/>
          <w:sz w:val="24"/>
          <w:szCs w:val="24"/>
        </w:rPr>
        <w:fldChar w:fldCharType="end"/>
      </w:r>
      <w:r w:rsidR="00E31290" w:rsidRPr="003C2B11">
        <w:rPr>
          <w:i w:val="0"/>
          <w:iCs w:val="0"/>
          <w:color w:val="000000" w:themeColor="text1"/>
          <w:sz w:val="24"/>
          <w:szCs w:val="24"/>
        </w:rPr>
        <w:t>.</w:t>
      </w:r>
    </w:p>
    <w:p w14:paraId="13F6EEAD" w14:textId="77777777" w:rsidR="00E31290" w:rsidRPr="00E31290" w:rsidRDefault="00E31290" w:rsidP="00E31290"/>
    <w:p w14:paraId="78AAD3A2" w14:textId="77777777" w:rsidR="00986E6D" w:rsidRDefault="00986E6D" w:rsidP="00986E6D">
      <w:pPr>
        <w:pStyle w:val="Heading3"/>
      </w:pPr>
      <w:bookmarkStart w:id="14" w:name="_Ref109037120"/>
      <w:r>
        <w:t xml:space="preserve">Hydrogen </w:t>
      </w:r>
      <w:proofErr w:type="spellStart"/>
      <w:r>
        <w:t>sulfide</w:t>
      </w:r>
      <w:proofErr w:type="spellEnd"/>
      <w:r>
        <w:t xml:space="preserve"> (H</w:t>
      </w:r>
      <w:r w:rsidRPr="00986E6D">
        <w:rPr>
          <w:vertAlign w:val="subscript"/>
        </w:rPr>
        <w:t>2</w:t>
      </w:r>
      <w:r>
        <w:t>S) solubility</w:t>
      </w:r>
      <w:bookmarkEnd w:id="14"/>
    </w:p>
    <w:p w14:paraId="6217B4BC" w14:textId="2BC3B89C" w:rsidR="001054A1" w:rsidRDefault="00986E6D" w:rsidP="00147AF9">
      <w:pPr>
        <w:ind w:firstLine="720"/>
        <w:jc w:val="both"/>
        <w:rPr>
          <w:rFonts w:ascii="Times New Roman" w:hAnsi="Times New Roman" w:cs="Times New Roman"/>
          <w:iCs/>
        </w:rPr>
      </w:pPr>
      <w:r>
        <w:rPr>
          <w:rFonts w:ascii="Times New Roman" w:hAnsi="Times New Roman" w:cs="Times New Roman"/>
          <w:iCs/>
        </w:rPr>
        <w:t xml:space="preserve">Rather than including the effect of water on </w:t>
      </w:r>
      <w:proofErr w:type="spellStart"/>
      <w:r>
        <w:rPr>
          <w:rFonts w:ascii="Times New Roman" w:hAnsi="Times New Roman" w:cs="Times New Roman"/>
          <w:iCs/>
        </w:rPr>
        <w:t>sulfide</w:t>
      </w:r>
      <w:proofErr w:type="spellEnd"/>
      <w:r>
        <w:rPr>
          <w:rFonts w:ascii="Times New Roman" w:hAnsi="Times New Roman" w:cs="Times New Roman"/>
          <w:iCs/>
        </w:rPr>
        <w:t xml:space="preserve"> solubility using a H</w:t>
      </w:r>
      <w:r w:rsidRPr="00986E6D">
        <w:rPr>
          <w:rFonts w:ascii="Times New Roman" w:hAnsi="Times New Roman" w:cs="Times New Roman"/>
          <w:iCs/>
          <w:vertAlign w:val="subscript"/>
        </w:rPr>
        <w:t>2</w:t>
      </w:r>
      <w:r>
        <w:rPr>
          <w:rFonts w:ascii="Times New Roman" w:hAnsi="Times New Roman" w:cs="Times New Roman"/>
          <w:iCs/>
        </w:rPr>
        <w:t xml:space="preserve">O term in the </w:t>
      </w:r>
      <w:proofErr w:type="spellStart"/>
      <w:r>
        <w:rPr>
          <w:rFonts w:ascii="Times New Roman" w:hAnsi="Times New Roman" w:cs="Times New Roman"/>
          <w:iCs/>
        </w:rPr>
        <w:t>sulfide</w:t>
      </w:r>
      <w:proofErr w:type="spellEnd"/>
      <w:r>
        <w:rPr>
          <w:rFonts w:ascii="Times New Roman" w:hAnsi="Times New Roman" w:cs="Times New Roman"/>
          <w:iCs/>
        </w:rPr>
        <w:t xml:space="preserve"> capacity approach described in Section </w:t>
      </w:r>
      <w:r>
        <w:rPr>
          <w:rFonts w:ascii="Times New Roman" w:hAnsi="Times New Roman" w:cs="Times New Roman"/>
          <w:iCs/>
        </w:rPr>
        <w:fldChar w:fldCharType="begin"/>
      </w:r>
      <w:r>
        <w:rPr>
          <w:rFonts w:ascii="Times New Roman" w:hAnsi="Times New Roman" w:cs="Times New Roman"/>
          <w:iCs/>
        </w:rPr>
        <w:instrText xml:space="preserve"> REF _Ref109026099 \r \h </w:instrText>
      </w:r>
      <w:r w:rsidR="009138EB">
        <w:rPr>
          <w:rFonts w:ascii="Times New Roman" w:hAnsi="Times New Roman" w:cs="Times New Roman"/>
          <w:iCs/>
        </w:rPr>
        <w:instrText xml:space="preserve"> \* MERGEFORMAT </w:instrText>
      </w:r>
      <w:r>
        <w:rPr>
          <w:rFonts w:ascii="Times New Roman" w:hAnsi="Times New Roman" w:cs="Times New Roman"/>
          <w:iCs/>
        </w:rPr>
      </w:r>
      <w:r>
        <w:rPr>
          <w:rFonts w:ascii="Times New Roman" w:hAnsi="Times New Roman" w:cs="Times New Roman"/>
          <w:iCs/>
        </w:rPr>
        <w:fldChar w:fldCharType="separate"/>
      </w:r>
      <w:r w:rsidR="00E5038F">
        <w:rPr>
          <w:rFonts w:ascii="Times New Roman" w:hAnsi="Times New Roman" w:cs="Times New Roman"/>
          <w:iCs/>
        </w:rPr>
        <w:t>3.2.4</w:t>
      </w:r>
      <w:r>
        <w:rPr>
          <w:rFonts w:ascii="Times New Roman" w:hAnsi="Times New Roman" w:cs="Times New Roman"/>
          <w:iCs/>
        </w:rPr>
        <w:fldChar w:fldCharType="end"/>
      </w:r>
      <w:r>
        <w:rPr>
          <w:rFonts w:ascii="Times New Roman" w:hAnsi="Times New Roman" w:cs="Times New Roman"/>
          <w:iCs/>
        </w:rPr>
        <w:t>, we consider the following dissolution mechanism of molecular H</w:t>
      </w:r>
      <w:r w:rsidRPr="00986E6D">
        <w:rPr>
          <w:rFonts w:ascii="Times New Roman" w:hAnsi="Times New Roman" w:cs="Times New Roman"/>
          <w:iCs/>
          <w:vertAlign w:val="subscript"/>
        </w:rPr>
        <w:t>2</w:t>
      </w:r>
      <w:r>
        <w:rPr>
          <w:rFonts w:ascii="Times New Roman" w:hAnsi="Times New Roman" w:cs="Times New Roman"/>
          <w:iCs/>
        </w:rPr>
        <w:t>S and its associat</w:t>
      </w:r>
      <w:r w:rsidR="00B22D0E">
        <w:rPr>
          <w:rFonts w:ascii="Times New Roman" w:hAnsi="Times New Roman" w:cs="Times New Roman"/>
          <w:iCs/>
        </w:rPr>
        <w:t>ed</w:t>
      </w:r>
      <w:r>
        <w:rPr>
          <w:rFonts w:ascii="Times New Roman" w:hAnsi="Times New Roman" w:cs="Times New Roman"/>
          <w:iCs/>
        </w:rPr>
        <w:t xml:space="preserve"> equilibrium constant: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6"/>
        <w:gridCol w:w="750"/>
      </w:tblGrid>
      <w:tr w:rsidR="00986E6D" w14:paraId="3F269944" w14:textId="77777777" w:rsidTr="00986E6D">
        <w:trPr>
          <w:jc w:val="center"/>
        </w:trPr>
        <w:tc>
          <w:tcPr>
            <w:tcW w:w="8359" w:type="dxa"/>
            <w:vAlign w:val="center"/>
          </w:tcPr>
          <w:p w14:paraId="3F22FD21" w14:textId="5771DCF4" w:rsidR="00986E6D" w:rsidRDefault="00986E6D" w:rsidP="00FF17A8">
            <w:pPr>
              <w:pStyle w:val="equation"/>
              <w:jc w:val="center"/>
              <w:rPr>
                <w:iCs/>
              </w:rPr>
            </w:pPr>
            <w:r>
              <w:t>H</w:t>
            </w:r>
            <w:r w:rsidRPr="003B1E41">
              <w:rPr>
                <w:vertAlign w:val="subscript"/>
              </w:rPr>
              <w:t>2</w:t>
            </w:r>
            <w:r>
              <w:t>S(</w:t>
            </w:r>
            <w:r w:rsidRPr="00790ED2">
              <w:rPr>
                <w:i/>
                <w:iCs/>
              </w:rPr>
              <w:t>v</w:t>
            </w:r>
            <w:r>
              <w:t xml:space="preserve">) </w:t>
            </w:r>
            <w:r w:rsidRPr="009852C4">
              <w:rPr>
                <w:rFonts w:ascii="Cambria Math" w:hAnsi="Cambria Math" w:cs="Cambria Math"/>
              </w:rPr>
              <w:t>⇄</w:t>
            </w:r>
            <w:r>
              <w:t xml:space="preserve"> H</w:t>
            </w:r>
            <w:r w:rsidRPr="003B1E41">
              <w:rPr>
                <w:vertAlign w:val="subscript"/>
              </w:rPr>
              <w:t>2</w:t>
            </w:r>
            <w:r w:rsidRPr="00E02C60">
              <w:t>S</w:t>
            </w:r>
            <w:r>
              <w:rPr>
                <w:vertAlign w:val="subscript"/>
              </w:rPr>
              <w:t>mol</w:t>
            </w:r>
            <w:r>
              <w:t>(</w:t>
            </w:r>
            <w:r w:rsidRPr="00790ED2">
              <w:rPr>
                <w:i/>
                <w:iCs/>
              </w:rPr>
              <w:t>m</w:t>
            </w:r>
            <w:r>
              <w:t>)</w:t>
            </w:r>
          </w:p>
        </w:tc>
        <w:tc>
          <w:tcPr>
            <w:tcW w:w="657" w:type="dxa"/>
            <w:vAlign w:val="center"/>
          </w:tcPr>
          <w:p w14:paraId="3C55B5A7" w14:textId="0E8E0999" w:rsidR="00986E6D" w:rsidRDefault="00986E6D" w:rsidP="00FF17A8">
            <w:pPr>
              <w:pStyle w:val="equation"/>
              <w:rPr>
                <w:iCs/>
              </w:rPr>
            </w:pPr>
            <w:r>
              <w:rPr>
                <w:iCs/>
              </w:rPr>
              <w:t>(</w:t>
            </w:r>
            <w:r w:rsidR="000D5520">
              <w:rPr>
                <w:iCs/>
              </w:rPr>
              <w:t>S</w:t>
            </w:r>
            <w:r w:rsidR="00D565F5">
              <w:rPr>
                <w:iCs/>
              </w:rPr>
              <w:t>4</w:t>
            </w:r>
            <w:r w:rsidR="00B22D0E">
              <w:rPr>
                <w:iCs/>
              </w:rPr>
              <w:t>7</w:t>
            </w:r>
            <w:r>
              <w:rPr>
                <w:iCs/>
              </w:rPr>
              <w:t>)</w:t>
            </w:r>
          </w:p>
        </w:tc>
      </w:tr>
      <w:tr w:rsidR="00986E6D" w14:paraId="61F470E4" w14:textId="77777777" w:rsidTr="00986E6D">
        <w:trPr>
          <w:jc w:val="center"/>
        </w:trPr>
        <w:tc>
          <w:tcPr>
            <w:tcW w:w="8359" w:type="dxa"/>
            <w:vAlign w:val="center"/>
          </w:tcPr>
          <w:p w14:paraId="3E1F12F1" w14:textId="494AE1F5" w:rsidR="00986E6D" w:rsidRPr="00986E6D" w:rsidRDefault="00063B50" w:rsidP="00FF17A8">
            <w:pPr>
              <w:pStyle w:val="equation"/>
              <w:rPr>
                <w:b/>
                <w:bCs/>
              </w:rPr>
            </w:pPr>
            <m:oMathPara>
              <m:oMath>
                <m:sSub>
                  <m:sSubPr>
                    <m:ctrlPr>
                      <w:rPr>
                        <w:rFonts w:ascii="Cambria Math" w:hAnsi="Cambria Math"/>
                        <w:i/>
                        <w:iCs/>
                      </w:rPr>
                    </m:ctrlPr>
                  </m:sSubPr>
                  <m:e>
                    <m:r>
                      <w:rPr>
                        <w:rFonts w:ascii="Cambria Math" w:hAnsi="Cambria Math"/>
                      </w:rPr>
                      <m:t>K</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Sub>
                <m:r>
                  <w:rPr>
                    <w:rFonts w:ascii="Cambria Math" w:hAnsi="Cambria Math"/>
                  </w:rPr>
                  <m:t>=</m:t>
                </m:r>
                <m:f>
                  <m:fPr>
                    <m:ctrlPr>
                      <w:rPr>
                        <w:rFonts w:ascii="Cambria Math" w:hAnsi="Cambria Math"/>
                        <w:i/>
                        <w:iCs/>
                      </w:rPr>
                    </m:ctrlPr>
                  </m:fPr>
                  <m:num>
                    <m:sSubSup>
                      <m:sSubSupPr>
                        <m:ctrlPr>
                          <w:rPr>
                            <w:rFonts w:ascii="Cambria Math" w:hAnsi="Cambria Math"/>
                            <w:i/>
                            <w:iCs/>
                          </w:rPr>
                        </m:ctrlPr>
                      </m:sSubSupPr>
                      <m:e>
                        <m:r>
                          <w:rPr>
                            <w:rFonts w:ascii="Cambria Math" w:hAnsi="Cambria Math"/>
                          </w:rPr>
                          <m:t>a</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i/>
                            <w:iCs/>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w:rPr>
                                <w:rFonts w:ascii="Cambria Math" w:hAnsi="Cambria Math"/>
                              </w:rPr>
                              <m:t>2</m:t>
                            </m:r>
                          </m:sub>
                        </m:sSub>
                        <m:r>
                          <m:rPr>
                            <m:sty m:val="p"/>
                          </m:rPr>
                          <w:rPr>
                            <w:rFonts w:ascii="Cambria Math" w:hAnsi="Cambria Math"/>
                          </w:rPr>
                          <m:t>S</m:t>
                        </m:r>
                      </m:sub>
                    </m:sSub>
                  </m:den>
                </m:f>
                <m:r>
                  <w:rPr>
                    <w:rFonts w:ascii="Cambria Math" w:hAnsi="Cambria Math"/>
                  </w:rPr>
                  <m:t>=</m:t>
                </m:r>
                <m:f>
                  <m:fPr>
                    <m:ctrlPr>
                      <w:rPr>
                        <w:rFonts w:ascii="Cambria Math" w:hAnsi="Cambria Math"/>
                      </w:rPr>
                    </m:ctrlPr>
                  </m:fPr>
                  <m:num>
                    <m:sSubSup>
                      <m:sSubSupPr>
                        <m:ctrlPr>
                          <w:rPr>
                            <w:rFonts w:ascii="Cambria Math" w:hAnsi="Cambria Math"/>
                            <w:i/>
                          </w:rPr>
                        </m:ctrlPr>
                      </m:sSubSupPr>
                      <m:e>
                        <m:r>
                          <w:rPr>
                            <w:rFonts w:ascii="Cambria Math" w:hAnsi="Cambria Math"/>
                          </w:rPr>
                          <m:t>γ</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up>
                        <m:r>
                          <w:rPr>
                            <w:rFonts w:ascii="Cambria Math" w:hAnsi="Cambria Math"/>
                          </w:rPr>
                          <m:t>m</m:t>
                        </m:r>
                      </m:sup>
                    </m:sSubSup>
                    <m:sSubSup>
                      <m:sSubSupPr>
                        <m:ctrlPr>
                          <w:rPr>
                            <w:rFonts w:ascii="Cambria Math" w:hAnsi="Cambria Math"/>
                            <w:i/>
                          </w:rPr>
                        </m:ctrlPr>
                      </m:sSubSupPr>
                      <m:e>
                        <m:r>
                          <w:rPr>
                            <w:rFonts w:ascii="Cambria Math" w:hAnsi="Cambria Math"/>
                          </w:rPr>
                          <m:t xml:space="preserve"> x</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S</m:t>
                        </m:r>
                      </m:sub>
                    </m:sSub>
                  </m:den>
                </m:f>
                <m:r>
                  <w:rPr>
                    <w:rFonts w:ascii="Cambria Math" w:hAnsi="Cambria Math"/>
                  </w:rPr>
                  <m:t>,</m:t>
                </m:r>
              </m:oMath>
            </m:oMathPara>
          </w:p>
        </w:tc>
        <w:tc>
          <w:tcPr>
            <w:tcW w:w="657" w:type="dxa"/>
            <w:vAlign w:val="center"/>
          </w:tcPr>
          <w:p w14:paraId="49266B70" w14:textId="7A12ECA6" w:rsidR="00986E6D" w:rsidRPr="00E5038F" w:rsidRDefault="00986E6D" w:rsidP="00FF17A8">
            <w:pPr>
              <w:pStyle w:val="equation"/>
              <w:rPr>
                <w:rFonts w:ascii="Cambria Math" w:hAnsi="Cambria Math"/>
                <w:iCs/>
              </w:rPr>
            </w:pPr>
            <w:r>
              <w:rPr>
                <w:iCs/>
              </w:rPr>
              <w:t>(</w:t>
            </w:r>
            <w:r w:rsidR="000D5520">
              <w:rPr>
                <w:iCs/>
              </w:rPr>
              <w:t>S</w:t>
            </w:r>
            <w:r w:rsidR="00D565F5">
              <w:rPr>
                <w:iCs/>
              </w:rPr>
              <w:t>4</w:t>
            </w:r>
            <w:r w:rsidR="00B22D0E">
              <w:rPr>
                <w:iCs/>
              </w:rPr>
              <w:t>8</w:t>
            </w:r>
            <w:r>
              <w:rPr>
                <w:iCs/>
              </w:rPr>
              <w:t>)</w:t>
            </w:r>
          </w:p>
        </w:tc>
      </w:tr>
      <w:tr w:rsidR="00E154E2" w14:paraId="588DAA96" w14:textId="77777777" w:rsidTr="00986E6D">
        <w:trPr>
          <w:jc w:val="center"/>
        </w:trPr>
        <w:tc>
          <w:tcPr>
            <w:tcW w:w="8359" w:type="dxa"/>
            <w:vAlign w:val="center"/>
          </w:tcPr>
          <w:p w14:paraId="3B088BE5" w14:textId="1AF30E04" w:rsidR="00E154E2" w:rsidRPr="00E154E2" w:rsidRDefault="00063B50" w:rsidP="00FF17A8">
            <w:pPr>
              <w:pStyle w:val="equation"/>
              <w:rPr>
                <w:rFonts w:eastAsiaTheme="minorHAnsi"/>
                <w:iCs/>
              </w:rPr>
            </w:pPr>
            <m:oMathPara>
              <m:oMath>
                <m:sSub>
                  <m:sSubPr>
                    <m:ctrlPr>
                      <w:rPr>
                        <w:rFonts w:ascii="Cambria Math" w:hAnsi="Cambria Math"/>
                        <w:i/>
                      </w:rPr>
                    </m:ctrlPr>
                  </m:sSubPr>
                  <m:e>
                    <m:r>
                      <w:rPr>
                        <w:rFonts w:ascii="Cambria Math" w:hAnsi="Cambria Math"/>
                      </w:rPr>
                      <m:t>f</m:t>
                    </m:r>
                  </m:e>
                  <m:sub>
                    <m:sSub>
                      <m:sSubPr>
                        <m:ctrlPr>
                          <w:rPr>
                            <w:rFonts w:ascii="Cambria Math" w:hAnsi="Cambria Math"/>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S</m:t>
                    </m:r>
                  </m:sub>
                </m:sSub>
                <m:r>
                  <w:rPr>
                    <w:rFonts w:ascii="Cambria Math" w:hAnsi="Cambria Math"/>
                  </w:rPr>
                  <m:t>=</m:t>
                </m:r>
                <m:f>
                  <m:fPr>
                    <m:ctrlPr>
                      <w:rPr>
                        <w:rFonts w:ascii="Cambria Math" w:hAnsi="Cambria Math"/>
                        <w:i/>
                        <w:iCs/>
                      </w:rPr>
                    </m:ctrlPr>
                  </m:fPr>
                  <m:num>
                    <m:sSubSup>
                      <m:sSubSupPr>
                        <m:ctrlPr>
                          <w:rPr>
                            <w:rFonts w:ascii="Cambria Math" w:hAnsi="Cambria Math"/>
                            <w:i/>
                            <w:iCs/>
                          </w:rPr>
                        </m:ctrlPr>
                      </m:sSubSupPr>
                      <m:e>
                        <m:r>
                          <w:rPr>
                            <w:rFonts w:ascii="Cambria Math" w:hAnsi="Cambria Math"/>
                          </w:rPr>
                          <m:t>w</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up>
                        <m:r>
                          <w:rPr>
                            <w:rFonts w:ascii="Cambria Math" w:hAnsi="Cambria Math"/>
                          </w:rPr>
                          <m:t>m</m:t>
                        </m:r>
                      </m:sup>
                    </m:sSubSup>
                  </m:num>
                  <m:den>
                    <m:sSub>
                      <m:sSubPr>
                        <m:ctrlPr>
                          <w:rPr>
                            <w:rFonts w:ascii="Cambria Math" w:hAnsi="Cambria Math"/>
                            <w:i/>
                            <w:iCs/>
                          </w:rPr>
                        </m:ctrlPr>
                      </m:sSubPr>
                      <m:e>
                        <m:r>
                          <w:rPr>
                            <w:rFonts w:ascii="Cambria Math" w:hAnsi="Cambria Math"/>
                          </w:rPr>
                          <m:t>C</m:t>
                        </m:r>
                      </m:e>
                      <m:sub>
                        <m:sSub>
                          <m:sSubPr>
                            <m:ctrlPr>
                              <w:rPr>
                                <w:rFonts w:ascii="Cambria Math" w:hAnsi="Cambria Math"/>
                              </w:rPr>
                            </m:ctrlPr>
                          </m:sSubPr>
                          <m:e>
                            <m:sSub>
                              <m:sSubPr>
                                <m:ctrlPr>
                                  <w:rPr>
                                    <w:rFonts w:ascii="Cambria Math" w:hAnsi="Cambria Math"/>
                                  </w:rPr>
                                </m:ctrlPr>
                              </m:sSubPr>
                              <m:e>
                                <m:r>
                                  <m:rPr>
                                    <m:sty m:val="p"/>
                                  </m:rPr>
                                  <w:rPr>
                                    <w:rFonts w:ascii="Cambria Math" w:hAnsi="Cambria Math"/>
                                  </w:rPr>
                                  <m:t>H</m:t>
                                </m:r>
                              </m:e>
                              <m:sub>
                                <m:r>
                                  <w:rPr>
                                    <w:rFonts w:ascii="Cambria Math" w:hAnsi="Cambria Math"/>
                                  </w:rPr>
                                  <m:t>2</m:t>
                                </m:r>
                              </m:sub>
                            </m:sSub>
                            <m:r>
                              <m:rPr>
                                <m:sty m:val="p"/>
                              </m:rPr>
                              <w:rPr>
                                <w:rFonts w:ascii="Cambria Math" w:hAnsi="Cambria Math"/>
                              </w:rPr>
                              <m:t>S</m:t>
                            </m:r>
                          </m:e>
                          <m:sub>
                            <m:r>
                              <m:rPr>
                                <m:sty m:val="p"/>
                              </m:rPr>
                              <w:rPr>
                                <w:rFonts w:ascii="Cambria Math" w:hAnsi="Cambria Math"/>
                              </w:rPr>
                              <m:t>mol</m:t>
                            </m:r>
                          </m:sub>
                        </m:sSub>
                      </m:sub>
                    </m:sSub>
                  </m:den>
                </m:f>
                <m:r>
                  <w:rPr>
                    <w:rFonts w:ascii="Cambria Math" w:hAnsi="Cambria Math"/>
                  </w:rPr>
                  <m:t>.</m:t>
                </m:r>
              </m:oMath>
            </m:oMathPara>
          </w:p>
        </w:tc>
        <w:tc>
          <w:tcPr>
            <w:tcW w:w="657" w:type="dxa"/>
            <w:vAlign w:val="center"/>
          </w:tcPr>
          <w:p w14:paraId="51EBA7B5" w14:textId="430D93BE" w:rsidR="00E154E2" w:rsidRDefault="00E154E2" w:rsidP="00FF17A8">
            <w:pPr>
              <w:pStyle w:val="equation"/>
              <w:rPr>
                <w:iCs/>
              </w:rPr>
            </w:pPr>
            <w:r>
              <w:rPr>
                <w:iCs/>
              </w:rPr>
              <w:t>(</w:t>
            </w:r>
            <w:r w:rsidR="000D5520">
              <w:rPr>
                <w:iCs/>
              </w:rPr>
              <w:t>S</w:t>
            </w:r>
            <w:r w:rsidR="00D565F5">
              <w:rPr>
                <w:iCs/>
              </w:rPr>
              <w:t>4</w:t>
            </w:r>
            <w:r w:rsidR="00B22D0E">
              <w:rPr>
                <w:iCs/>
              </w:rPr>
              <w:t>9</w:t>
            </w:r>
            <w:r>
              <w:rPr>
                <w:iCs/>
              </w:rPr>
              <w:t>)</w:t>
            </w:r>
          </w:p>
        </w:tc>
      </w:tr>
    </w:tbl>
    <w:p w14:paraId="2BB5923B" w14:textId="1112FD00" w:rsidR="004946D7" w:rsidRPr="0022237F" w:rsidRDefault="000F0BD4" w:rsidP="0022237F">
      <w:pPr>
        <w:spacing w:after="245"/>
        <w:jc w:val="both"/>
        <w:rPr>
          <w:rFonts w:ascii="Times New Roman" w:hAnsi="Times New Roman" w:cs="Times New Roman"/>
        </w:rPr>
      </w:pPr>
      <w:r w:rsidRPr="000B2742">
        <w:rPr>
          <w:rFonts w:ascii="Times New Roman" w:hAnsi="Times New Roman" w:cs="Times New Roman"/>
          <w:color w:val="000000" w:themeColor="text1"/>
        </w:rPr>
        <w:fldChar w:fldCharType="begin" w:fldLock="1"/>
      </w:r>
      <w:r w:rsidR="000B2742">
        <w:rPr>
          <w:rFonts w:ascii="Times New Roman" w:hAnsi="Times New Roman" w:cs="Times New Roman"/>
          <w:color w:val="000000" w:themeColor="text1"/>
        </w:rPr>
        <w:instrText>ADDIN CSL_CITATION {"citationItems":[{"id":"ITEM-1","itemData":{"DOI":"10.1093/petrology/egh052","ISSN":"1460-2415","author":[{"dropping-particle":"","family":"Clemente","given":"Béatrice","non-dropping-particle":"","parse-names":false,"suffix":""},{"dropping-particle":"","family":"SCAILLET","given":"BRUNO","non-dropping-particle":"","parse-names":false,"suffix":""},{"dropping-particle":"","family":"PICHAVANT","given":"MICHEL","non-dropping-particle":"","parse-names":false,"suffix":""}],"container-title":"Journal of Petrology","id":"ITEM-1","issue":"11","issued":{"date-parts":[["2004","8","12"]]},"page":"2171-2196","publisher":"Narnia","title":"The Solubility of Sulphur in Hydrous Rhyolitic Melts","type":"article-journal","volume":"45"},"uris":["http://www.mendeley.com/documents/?uuid=402aa7ac-0fab-3803-8fa3-c9af4bf02299"]},{"id":"ITEM-2","itemData":{"DOI":"10.1016/J.CHEMGEO.2015.03.025","ISSN":"0009-2541","abstract":"Experiments were performed to determine the sulfur solubilities of hydrous basalts from Vesuvius, Etna and Stromboli (Italy). The melts were equilibrated at 1050 and 1200°C with H2O and sulfur (added as pyrrhotite), and at pressures ranging from 250 to 2000bar. Most experiments were performed under oxidising conditions (NNO+2), and a few under reducing conditions (NNO−1), with melt water contents of 0.5–3.5wt.%. Sulfur contents in glasses were determined by electron microprobe and range from 860 up to 6700ppm. No compositional effect is found between the three alkali basaltic melts. The fugacities of S-bearing species were derived using an MRK equation of state applied to an O–H–S fluid, knowing H2 and H2O fugacities, and range from 50 up to 3000bar. A thermodynamic species-based model is derived from our results along with available data in the literature, assuming that sulfur dissolution results from the additive contributions of both H2S and SO2 dissolution reactions. Compared to similar models developed for silicic melts, basalt compositions requires the incorporation of an Fe term, which accounts for the strong association between Fe and S in silicate melts, and considers the elevated Fe content of mafic melts. The model shows that, at any fixed fS2, the sulfur solubility in hydrous basalt displays a pronounced minimum around NNO, the position of which depends on temperature. The minimum in sulfur solubility coincides with the redox range were the abundance of S2 in the fluid reaches its maximum compared to either H2S or SO2 species. Such a minimum in solubility is in agreement with experimental constraints at 1bar under carefully controlled fO2 and fS2. Calculated proportions of dissolved species in the melt depend on the prevailing fS2 and fO2, being in general agreement with available spectroscopic models. Calculations of gas saturation pressures, which classically consider only H2O and CO2 dissolved volatiles, are strongly affected by S-bearing species. At fO2 close to, or higher than, NNO+1, omission of sulfur species may result in underestimates of gas saturation pressures of 1kbar or more. The same happens at fO2 below NNO−1.","author":[{"dropping-particle":"","family":"Lesne","given":"Priscille","non-dropping-particle":"","parse-names":false,"suffix":""},{"dropping-particle":"","family":"Scaillet","given":"Bruno","non-dropping-particle":"","parse-names":false,"suffix":""},{"dropping-particle":"","family":"Pichavant","given":"Michel","non-dropping-particle":"","parse-names":false,"suffix":""}],"container-title":"Chemical Geology","id":"ITEM-2","issued":{"date-parts":[["2015","12","15"]]},"page":"104-116","publisher":"Elsevier","title":"The solubility of sulfur in hydrous basaltic melts","type":"article-journal","volume":"418"},"uris":["http://www.mendeley.com/documents/?uuid=8b5c3418-59ee-31b8-bbf9-6889a5f15dfc"]}],"mendeley":{"formattedCitation":"(Clemente et al., 2004; Lesne et al., 2015)","manualFormatting":"Clemente et al. (2004) and Lesne et al. (2015)","plainTextFormattedCitation":"(Clemente et al., 2004; Lesne et al., 2015)","previouslyFormattedCitation":"(Clemente et al., 2004; Lesne et al., 2015)"},"properties":{"noteIndex":0},"schema":"https://github.com/citation-style-language/schema/raw/master/csl-citation.json"}</w:instrText>
      </w:r>
      <w:r w:rsidRPr="000B2742">
        <w:rPr>
          <w:rFonts w:ascii="Times New Roman" w:hAnsi="Times New Roman" w:cs="Times New Roman"/>
          <w:color w:val="000000" w:themeColor="text1"/>
        </w:rPr>
        <w:fldChar w:fldCharType="separate"/>
      </w:r>
      <w:r w:rsidRPr="000B2742">
        <w:rPr>
          <w:rFonts w:ascii="Times New Roman" w:hAnsi="Times New Roman" w:cs="Times New Roman"/>
          <w:noProof/>
          <w:color w:val="000000" w:themeColor="text1"/>
        </w:rPr>
        <w:t xml:space="preserve">Clemente et al. </w:t>
      </w:r>
      <w:r w:rsidR="000B2742">
        <w:rPr>
          <w:rFonts w:ascii="Times New Roman" w:hAnsi="Times New Roman" w:cs="Times New Roman"/>
          <w:noProof/>
          <w:color w:val="000000" w:themeColor="text1"/>
        </w:rPr>
        <w:t>(</w:t>
      </w:r>
      <w:r w:rsidRPr="000B2742">
        <w:rPr>
          <w:rFonts w:ascii="Times New Roman" w:hAnsi="Times New Roman" w:cs="Times New Roman"/>
          <w:noProof/>
          <w:color w:val="000000" w:themeColor="text1"/>
        </w:rPr>
        <w:t>2004</w:t>
      </w:r>
      <w:r w:rsidR="000B2742">
        <w:rPr>
          <w:rFonts w:ascii="Times New Roman" w:hAnsi="Times New Roman" w:cs="Times New Roman"/>
          <w:noProof/>
          <w:color w:val="000000" w:themeColor="text1"/>
        </w:rPr>
        <w:t>) and</w:t>
      </w:r>
      <w:r w:rsidRPr="000B2742">
        <w:rPr>
          <w:rFonts w:ascii="Times New Roman" w:hAnsi="Times New Roman" w:cs="Times New Roman"/>
          <w:noProof/>
          <w:color w:val="000000" w:themeColor="text1"/>
        </w:rPr>
        <w:t xml:space="preserve"> Lesne et al. </w:t>
      </w:r>
      <w:r w:rsidR="000B2742">
        <w:rPr>
          <w:rFonts w:ascii="Times New Roman" w:hAnsi="Times New Roman" w:cs="Times New Roman"/>
          <w:noProof/>
          <w:color w:val="000000" w:themeColor="text1"/>
        </w:rPr>
        <w:t>(</w:t>
      </w:r>
      <w:r w:rsidRPr="000B2742">
        <w:rPr>
          <w:rFonts w:ascii="Times New Roman" w:hAnsi="Times New Roman" w:cs="Times New Roman"/>
          <w:noProof/>
          <w:color w:val="000000" w:themeColor="text1"/>
        </w:rPr>
        <w:t>2015)</w:t>
      </w:r>
      <w:r w:rsidRPr="000B2742">
        <w:rPr>
          <w:rFonts w:ascii="Times New Roman" w:hAnsi="Times New Roman" w:cs="Times New Roman"/>
          <w:color w:val="000000" w:themeColor="text1"/>
        </w:rPr>
        <w:fldChar w:fldCharType="end"/>
      </w:r>
      <w:r w:rsidR="00E5038F">
        <w:rPr>
          <w:rFonts w:ascii="Times New Roman" w:hAnsi="Times New Roman" w:cs="Times New Roman"/>
          <w:color w:val="000000" w:themeColor="text1"/>
        </w:rPr>
        <w:t xml:space="preserve"> assumed H</w:t>
      </w:r>
      <w:r w:rsidR="00E5038F" w:rsidRPr="00E5038F">
        <w:rPr>
          <w:rFonts w:ascii="Times New Roman" w:hAnsi="Times New Roman" w:cs="Times New Roman"/>
          <w:color w:val="000000" w:themeColor="text1"/>
          <w:vertAlign w:val="subscript"/>
        </w:rPr>
        <w:t>2</w:t>
      </w:r>
      <w:r w:rsidR="00E5038F">
        <w:rPr>
          <w:rFonts w:ascii="Times New Roman" w:hAnsi="Times New Roman" w:cs="Times New Roman"/>
          <w:color w:val="000000" w:themeColor="text1"/>
        </w:rPr>
        <w:t>S</w:t>
      </w:r>
      <w:r w:rsidR="00E5038F" w:rsidRPr="00E5038F">
        <w:rPr>
          <w:rFonts w:ascii="Times New Roman" w:hAnsi="Times New Roman" w:cs="Times New Roman"/>
          <w:color w:val="000000" w:themeColor="text1"/>
          <w:vertAlign w:val="subscript"/>
        </w:rPr>
        <w:t>mol</w:t>
      </w:r>
      <w:r w:rsidR="00E5038F">
        <w:rPr>
          <w:rFonts w:ascii="Times New Roman" w:hAnsi="Times New Roman" w:cs="Times New Roman"/>
          <w:color w:val="000000" w:themeColor="text1"/>
        </w:rPr>
        <w:t xml:space="preserve"> </w:t>
      </w:r>
      <w:r w:rsidR="00F4448F">
        <w:rPr>
          <w:rFonts w:ascii="Times New Roman" w:hAnsi="Times New Roman" w:cs="Times New Roman"/>
          <w:color w:val="000000" w:themeColor="text1"/>
        </w:rPr>
        <w:t>was</w:t>
      </w:r>
      <w:r w:rsidR="00E5038F">
        <w:rPr>
          <w:rFonts w:ascii="Times New Roman" w:hAnsi="Times New Roman" w:cs="Times New Roman"/>
          <w:color w:val="000000" w:themeColor="text1"/>
        </w:rPr>
        <w:t xml:space="preserve"> an S-bearing species in the silicate melt and</w:t>
      </w:r>
      <w:r w:rsidR="00E154E2">
        <w:rPr>
          <w:rFonts w:ascii="Times New Roman" w:hAnsi="Times New Roman" w:cs="Times New Roman"/>
        </w:rPr>
        <w:t xml:space="preserve"> calculated </w:t>
      </w:r>
      <w:r w:rsidR="005068A3">
        <w:rPr>
          <w:rFonts w:ascii="Times New Roman" w:hAnsi="Times New Roman" w:cs="Times New Roman"/>
        </w:rPr>
        <w:t xml:space="preserve">equilibrium constants for this reaction for rhyolites and basalts, respectively, including effects of </w:t>
      </w:r>
      <w:r w:rsidR="005068A3" w:rsidRPr="005068A3">
        <w:rPr>
          <w:rFonts w:ascii="Times New Roman" w:hAnsi="Times New Roman" w:cs="Times New Roman"/>
          <w:i/>
          <w:iCs/>
        </w:rPr>
        <w:t>T</w:t>
      </w:r>
      <w:r w:rsidR="005068A3">
        <w:rPr>
          <w:rFonts w:ascii="Times New Roman" w:hAnsi="Times New Roman" w:cs="Times New Roman"/>
        </w:rPr>
        <w:t xml:space="preserve">, </w:t>
      </w:r>
      <w:r w:rsidR="005068A3" w:rsidRPr="005068A3">
        <w:rPr>
          <w:rFonts w:ascii="Times New Roman" w:hAnsi="Times New Roman" w:cs="Times New Roman"/>
          <w:i/>
          <w:iCs/>
        </w:rPr>
        <w:t>P</w:t>
      </w:r>
      <w:r w:rsidR="005068A3">
        <w:rPr>
          <w:rFonts w:ascii="Times New Roman" w:hAnsi="Times New Roman" w:cs="Times New Roman"/>
        </w:rPr>
        <w:t xml:space="preserve">, and </w:t>
      </w:r>
      <w:proofErr w:type="spellStart"/>
      <w:r w:rsidR="005068A3">
        <w:rPr>
          <w:rFonts w:ascii="Times New Roman" w:hAnsi="Times New Roman" w:cs="Times New Roman"/>
        </w:rPr>
        <w:t>FeO</w:t>
      </w:r>
      <w:proofErr w:type="spellEnd"/>
      <w:r w:rsidR="005068A3">
        <w:rPr>
          <w:rFonts w:ascii="Times New Roman" w:hAnsi="Times New Roman" w:cs="Times New Roman"/>
        </w:rPr>
        <w:t xml:space="preserve"> contents of the melt based on the limited available data</w:t>
      </w:r>
      <w:r w:rsidR="009138EB">
        <w:rPr>
          <w:rFonts w:ascii="Times New Roman" w:hAnsi="Times New Roman" w:cs="Times New Roman"/>
        </w:rPr>
        <w:t xml:space="preserve">. </w:t>
      </w:r>
      <w:r w:rsidR="005068A3">
        <w:rPr>
          <w:rFonts w:ascii="Times New Roman" w:hAnsi="Times New Roman" w:cs="Times New Roman"/>
        </w:rPr>
        <w:t>For simplicity</w:t>
      </w:r>
      <w:r w:rsidR="009138EB">
        <w:rPr>
          <w:rFonts w:ascii="Times New Roman" w:hAnsi="Times New Roman" w:cs="Times New Roman"/>
        </w:rPr>
        <w:t>,</w:t>
      </w:r>
      <w:r w:rsidR="005068A3">
        <w:rPr>
          <w:rFonts w:ascii="Times New Roman" w:hAnsi="Times New Roman" w:cs="Times New Roman"/>
        </w:rPr>
        <w:t xml:space="preserve"> we regress the </w:t>
      </w:r>
      <w:r w:rsidR="009138EB">
        <w:rPr>
          <w:rFonts w:ascii="Times New Roman" w:hAnsi="Times New Roman" w:cs="Times New Roman"/>
        </w:rPr>
        <w:t>literature data</w:t>
      </w:r>
      <w:r w:rsidR="00E5038F">
        <w:rPr>
          <w:rFonts w:ascii="Times New Roman" w:hAnsi="Times New Roman" w:cs="Times New Roman"/>
        </w:rPr>
        <w:t xml:space="preserve"> (</w:t>
      </w:r>
      <w:r w:rsidR="00E5038F" w:rsidRPr="00E5038F">
        <w:rPr>
          <w:rFonts w:ascii="Times New Roman" w:hAnsi="Times New Roman" w:cs="Times New Roman"/>
          <w:i/>
          <w:iCs/>
        </w:rPr>
        <w:t>f</w:t>
      </w:r>
      <w:r w:rsidR="00E5038F" w:rsidRPr="00E5038F">
        <w:rPr>
          <w:rFonts w:ascii="Times New Roman" w:hAnsi="Times New Roman" w:cs="Times New Roman"/>
          <w:vertAlign w:val="subscript"/>
        </w:rPr>
        <w:t>H2S</w:t>
      </w:r>
      <w:r w:rsidR="00E5038F">
        <w:rPr>
          <w:rFonts w:ascii="Times New Roman" w:hAnsi="Times New Roman" w:cs="Times New Roman"/>
        </w:rPr>
        <w:t xml:space="preserve"> and dissolved H</w:t>
      </w:r>
      <w:r w:rsidR="00E5038F" w:rsidRPr="00E5038F">
        <w:rPr>
          <w:rFonts w:ascii="Times New Roman" w:hAnsi="Times New Roman" w:cs="Times New Roman"/>
          <w:vertAlign w:val="subscript"/>
        </w:rPr>
        <w:t>2</w:t>
      </w:r>
      <w:r w:rsidR="00E5038F">
        <w:rPr>
          <w:rFonts w:ascii="Times New Roman" w:hAnsi="Times New Roman" w:cs="Times New Roman"/>
        </w:rPr>
        <w:t>S in ppm)</w:t>
      </w:r>
      <w:r w:rsidR="009138EB">
        <w:rPr>
          <w:rFonts w:ascii="Times New Roman" w:hAnsi="Times New Roman" w:cs="Times New Roman"/>
        </w:rPr>
        <w:t xml:space="preserve"> from </w:t>
      </w:r>
      <w:r w:rsidR="000B2742">
        <w:rPr>
          <w:rFonts w:ascii="Times New Roman" w:hAnsi="Times New Roman" w:cs="Times New Roman"/>
        </w:rPr>
        <w:fldChar w:fldCharType="begin" w:fldLock="1"/>
      </w:r>
      <w:r w:rsidR="000B2742">
        <w:rPr>
          <w:rFonts w:ascii="Times New Roman" w:hAnsi="Times New Roman" w:cs="Times New Roman"/>
        </w:rPr>
        <w:instrText>ADDIN CSL_CITATION {"citationItems":[{"id":"ITEM-1","itemData":{"DOI":"10.1007/s00410-008-0359-0","ISSN":"0010-7999","abstract":"The solubility of sulphur in sulphide-saturated, H2O-bearing basaltic–andesitic and basaltic melts from Hekla volcano (Iceland) has been determined experimentally at 1,050°C, 300 and 200 MPa, and redox conditions with oxygen fugacity (logfO2) between QFM−1.2 and QFM+1.1 (QFM is a quartz–fayalite–magnetite oxygen buffer) in the systems containing various amounts of S and H2O. The S content of the H2O-rich glasses saturated with pyrrhotite decreases from 2,500 ppm in basalt to 1,500 ppm in basaltic andesite at the investigated conditions. Furthermore, the reduction of water content in the melt at pyrrhotite saturation and fixed T, P and redox conditions leads to a decrease in S concentration from 2,500 to 1,400 ppm for basaltic experiments (for H2O decrease from 7.8 to 1.4 wt%) and from 1,500 to 900 ppm (for H2O decrease from 6.7 to 1.7 wt%) for basaltic andesitic experiments. Our experimental data, combined with silicate melt inclusion investigations and the available models on sulphide saturation in mafic magmas, indicate that the parental basaltic melts of Hekla were not saturated with respect to sulphide. During magmatic differentiation, the S content in the residual melts increased and might have reached sulphide saturation with 2,500 ppm dissolved S. With further magma crystallization, the S concentration in the melt was controlled by the sulphide saturation of the magma, decreasing from ~2,500 to 900 ppm S.","author":[{"dropping-particle":"","family":"Moune","given":"Séverine","non-dropping-particle":"","parse-names":false,"suffix":""},{"dropping-particle":"","family":"Holtz","given":"François","non-dropping-particle":"","parse-names":false,"suffix":""},{"dropping-particle":"","family":"Botcharnikov","given":"Roman E.","non-dropping-particle":"","parse-names":false,"suffix":""}],"container-title":"Contributions to Mineralogy and Petrology","id":"ITEM-1","issue":"6","issued":{"date-parts":[["2009","6","2"]]},"page":"691-707","publisher":"Springer","title":"Sulphur solubility in andesitic to basaltic melts: implications for Hekla volcano","type":"article-journal","volume":"157"},"uris":["http://www.mendeley.com/documents/?uuid=d9f9a41a-1ffd-37d0-a592-3ef96a69d592"]},{"id":"ITEM-2","itemData":{"DOI":"10.1016/J.CHEMGEO.2015.03.025","ISSN":"0009-2541","abstract":"Experiments were performed to determine the sulfur solubilities of hydrous basalts from Vesuvius, Etna and Stromboli (Italy). The melts were equilibrated at 1050 and 1200°C with H2O and sulfur (added as pyrrhotite), and at pressures ranging from 250 to 2000bar. Most experiments were performed under oxidising conditions (NNO+2), and a few under reducing conditions (NNO−1), with melt water contents of 0.5–3.5wt.%. Sulfur contents in glasses were determined by electron microprobe and range from 860 up to 6700ppm. No compositional effect is found between the three alkali basaltic melts. The fugacities of S-bearing species were derived using an MRK equation of state applied to an O–H–S fluid, knowing H2 and H2O fugacities, and range from 50 up to 3000bar. A thermodynamic species-based model is derived from our results along with available data in the literature, assuming that sulfur dissolution results from the additive contributions of both H2S and SO2 dissolution reactions. Compared to similar models developed for silicic melts, basalt compositions requires the incorporation of an Fe term, which accounts for the strong association between Fe and S in silicate melts, and considers the elevated Fe content of mafic melts. The model shows that, at any fixed fS2, the sulfur solubility in hydrous basalt displays a pronounced minimum around NNO, the position of which depends on temperature. The minimum in sulfur solubility coincides with the redox range were the abundance of S2 in the fluid reaches its maximum compared to either H2S or SO2 species. Such a minimum in solubility is in agreement with experimental constraints at 1bar under carefully controlled fO2 and fS2. Calculated proportions of dissolved species in the melt depend on the prevailing fS2 and fO2, being in general agreement with available spectroscopic models. Calculations of gas saturation pressures, which classically consider only H2O and CO2 dissolved volatiles, are strongly affected by S-bearing species. At fO2 close to, or higher than, NNO+1, omission of sulfur species may result in underestimates of gas saturation pressures of 1kbar or more. The same happens at fO2 below NNO−1.","author":[{"dropping-particle":"","family":"Lesne","given":"Priscille","non-dropping-particle":"","parse-names":false,"suffix":""},{"dropping-particle":"","family":"Scaillet","given":"Bruno","non-dropping-particle":"","parse-names":false,"suffix":""},{"dropping-particle":"","family":"Pichavant","given":"Michel","non-dropping-particle":"","parse-names":false,"suffix":""}],"container-title":"Chemical Geology","id":"ITEM-2","issued":{"date-parts":[["2015","12","15"]]},"page":"104-116","publisher":"Elsevier","title":"The solubility of sulfur in hydrous basaltic melts","type":"article-journal","volume":"418"},"uris":["http://www.mendeley.com/documents/?uuid=8b5c3418-59ee-31b8-bbf9-6889a5f15dfc"]}],"mendeley":{"formattedCitation":"(Lesne et al., 2015; Moune et al., 2009)","manualFormatting":"Lesne et al. (2015) and Moune et al. (2009)","plainTextFormattedCitation":"(Lesne et al., 2015; Moune et al., 2009)","previouslyFormattedCitation":"(Lesne et al., 2015; Moune et al., 2009)"},"properties":{"noteIndex":0},"schema":"https://github.com/citation-style-language/schema/raw/master/csl-citation.json"}</w:instrText>
      </w:r>
      <w:r w:rsidR="000B2742">
        <w:rPr>
          <w:rFonts w:ascii="Times New Roman" w:hAnsi="Times New Roman" w:cs="Times New Roman"/>
        </w:rPr>
        <w:fldChar w:fldCharType="separate"/>
      </w:r>
      <w:r w:rsidR="000B2742" w:rsidRPr="000B2742">
        <w:rPr>
          <w:rFonts w:ascii="Times New Roman" w:hAnsi="Times New Roman" w:cs="Times New Roman"/>
          <w:noProof/>
        </w:rPr>
        <w:t xml:space="preserve">Lesne et al. </w:t>
      </w:r>
      <w:r w:rsidR="000B2742">
        <w:rPr>
          <w:rFonts w:ascii="Times New Roman" w:hAnsi="Times New Roman" w:cs="Times New Roman"/>
          <w:noProof/>
        </w:rPr>
        <w:t>(</w:t>
      </w:r>
      <w:r w:rsidR="000B2742" w:rsidRPr="000B2742">
        <w:rPr>
          <w:rFonts w:ascii="Times New Roman" w:hAnsi="Times New Roman" w:cs="Times New Roman"/>
          <w:noProof/>
        </w:rPr>
        <w:t>2015</w:t>
      </w:r>
      <w:r w:rsidR="000B2742">
        <w:rPr>
          <w:rFonts w:ascii="Times New Roman" w:hAnsi="Times New Roman" w:cs="Times New Roman"/>
          <w:noProof/>
        </w:rPr>
        <w:t>)</w:t>
      </w:r>
      <w:r w:rsidR="000B2742" w:rsidRPr="000B2742">
        <w:rPr>
          <w:rFonts w:ascii="Times New Roman" w:hAnsi="Times New Roman" w:cs="Times New Roman"/>
          <w:noProof/>
        </w:rPr>
        <w:t xml:space="preserve"> </w:t>
      </w:r>
      <w:r w:rsidR="000B2742">
        <w:rPr>
          <w:rFonts w:ascii="Times New Roman" w:hAnsi="Times New Roman" w:cs="Times New Roman"/>
          <w:noProof/>
        </w:rPr>
        <w:t xml:space="preserve">and </w:t>
      </w:r>
      <w:r w:rsidR="000B2742" w:rsidRPr="000B2742">
        <w:rPr>
          <w:rFonts w:ascii="Times New Roman" w:hAnsi="Times New Roman" w:cs="Times New Roman"/>
          <w:noProof/>
        </w:rPr>
        <w:t xml:space="preserve">Moune et al. </w:t>
      </w:r>
      <w:r w:rsidR="000B2742">
        <w:rPr>
          <w:rFonts w:ascii="Times New Roman" w:hAnsi="Times New Roman" w:cs="Times New Roman"/>
          <w:noProof/>
        </w:rPr>
        <w:t>(</w:t>
      </w:r>
      <w:r w:rsidR="000B2742" w:rsidRPr="000B2742">
        <w:rPr>
          <w:rFonts w:ascii="Times New Roman" w:hAnsi="Times New Roman" w:cs="Times New Roman"/>
          <w:noProof/>
        </w:rPr>
        <w:t>2009)</w:t>
      </w:r>
      <w:r w:rsidR="000B2742">
        <w:rPr>
          <w:rFonts w:ascii="Times New Roman" w:hAnsi="Times New Roman" w:cs="Times New Roman"/>
        </w:rPr>
        <w:fldChar w:fldCharType="end"/>
      </w:r>
      <w:r w:rsidR="009138EB">
        <w:rPr>
          <w:rFonts w:ascii="Times New Roman" w:hAnsi="Times New Roman"/>
        </w:rPr>
        <w:t xml:space="preserve"> for basaltic and basalt</w:t>
      </w:r>
      <w:r w:rsidR="00B22D0E">
        <w:rPr>
          <w:rFonts w:ascii="Times New Roman" w:hAnsi="Times New Roman"/>
        </w:rPr>
        <w:t>ic</w:t>
      </w:r>
      <w:r w:rsidR="005068A3">
        <w:rPr>
          <w:rFonts w:ascii="Times New Roman" w:hAnsi="Times New Roman"/>
        </w:rPr>
        <w:t>-</w:t>
      </w:r>
      <w:r w:rsidR="009138EB">
        <w:rPr>
          <w:rFonts w:ascii="Times New Roman" w:hAnsi="Times New Roman"/>
        </w:rPr>
        <w:t xml:space="preserve">andesite melts to calculate </w:t>
      </w:r>
      <w:r w:rsidR="003C2B11" w:rsidRPr="003C2B11">
        <w:rPr>
          <w:rFonts w:ascii="Times New Roman" w:hAnsi="Times New Roman"/>
          <w:i/>
          <w:iCs/>
        </w:rPr>
        <w:t>C</w:t>
      </w:r>
      <w:r w:rsidR="003C2B11" w:rsidRPr="003C2B11">
        <w:rPr>
          <w:rFonts w:ascii="Times New Roman" w:hAnsi="Times New Roman"/>
          <w:vertAlign w:val="subscript"/>
        </w:rPr>
        <w:t>H2Smol</w:t>
      </w:r>
      <w:r w:rsidR="005068A3">
        <w:rPr>
          <w:rFonts w:ascii="Times New Roman" w:eastAsiaTheme="minorEastAsia" w:hAnsi="Times New Roman"/>
          <w:iCs/>
        </w:rPr>
        <w:t xml:space="preserve"> without including the effects of </w:t>
      </w:r>
      <w:r w:rsidR="00B22D0E" w:rsidRPr="00B22D0E">
        <w:rPr>
          <w:rFonts w:ascii="Times New Roman" w:eastAsiaTheme="minorEastAsia" w:hAnsi="Times New Roman"/>
          <w:i/>
        </w:rPr>
        <w:t>T</w:t>
      </w:r>
      <w:r w:rsidR="00B22D0E">
        <w:rPr>
          <w:rFonts w:ascii="Times New Roman" w:eastAsiaTheme="minorEastAsia" w:hAnsi="Times New Roman"/>
          <w:iCs/>
        </w:rPr>
        <w:t xml:space="preserve">, </w:t>
      </w:r>
      <w:r w:rsidR="005068A3" w:rsidRPr="005068A3">
        <w:rPr>
          <w:rFonts w:ascii="Times New Roman" w:hAnsi="Times New Roman" w:cs="Times New Roman"/>
          <w:i/>
          <w:iCs/>
        </w:rPr>
        <w:t>P</w:t>
      </w:r>
      <w:r w:rsidR="00B22D0E" w:rsidRPr="00B22D0E">
        <w:rPr>
          <w:rFonts w:ascii="Times New Roman" w:hAnsi="Times New Roman" w:cs="Times New Roman"/>
        </w:rPr>
        <w:t>,</w:t>
      </w:r>
      <w:r w:rsidR="005068A3">
        <w:rPr>
          <w:rFonts w:ascii="Times New Roman" w:hAnsi="Times New Roman" w:cs="Times New Roman"/>
        </w:rPr>
        <w:t xml:space="preserve"> and </w:t>
      </w:r>
      <w:proofErr w:type="spellStart"/>
      <w:r w:rsidR="005068A3">
        <w:rPr>
          <w:rFonts w:ascii="Times New Roman" w:hAnsi="Times New Roman" w:cs="Times New Roman"/>
        </w:rPr>
        <w:t>FeO</w:t>
      </w:r>
      <w:proofErr w:type="spellEnd"/>
      <w:r w:rsidR="005068A3">
        <w:rPr>
          <w:rFonts w:ascii="Times New Roman" w:hAnsi="Times New Roman" w:cs="Times New Roman"/>
        </w:rPr>
        <w:t xml:space="preserve"> contents of the melt</w:t>
      </w:r>
      <w:r w:rsidR="00CF244A">
        <w:rPr>
          <w:rFonts w:ascii="Times New Roman" w:hAnsi="Times New Roman" w:cs="Times New Roman"/>
        </w:rPr>
        <w:t xml:space="preserve"> </w:t>
      </w:r>
      <w:r w:rsidR="00CF244A" w:rsidRPr="00000255">
        <w:rPr>
          <w:rFonts w:ascii="Times New Roman" w:hAnsi="Times New Roman" w:cs="Times New Roman"/>
        </w:rPr>
        <w:t>(</w:t>
      </w:r>
      <w:r w:rsidR="00CF244A" w:rsidRPr="00000255">
        <w:rPr>
          <w:rFonts w:ascii="Times New Roman" w:hAnsi="Times New Roman" w:cs="Times New Roman"/>
        </w:rPr>
        <w:fldChar w:fldCharType="begin"/>
      </w:r>
      <w:r w:rsidR="00CF244A" w:rsidRPr="00000255">
        <w:rPr>
          <w:rFonts w:ascii="Times New Roman" w:hAnsi="Times New Roman" w:cs="Times New Roman"/>
        </w:rPr>
        <w:instrText xml:space="preserve"> REF _Ref109036183 \h  \* MERGEFORMAT </w:instrText>
      </w:r>
      <w:r w:rsidR="00CF244A" w:rsidRPr="00000255">
        <w:rPr>
          <w:rFonts w:ascii="Times New Roman" w:hAnsi="Times New Roman" w:cs="Times New Roman"/>
        </w:rPr>
      </w:r>
      <w:r w:rsidR="00CF244A" w:rsidRPr="00000255">
        <w:rPr>
          <w:rFonts w:ascii="Times New Roman" w:hAnsi="Times New Roman" w:cs="Times New Roman"/>
        </w:rPr>
        <w:fldChar w:fldCharType="separate"/>
      </w:r>
      <w:r w:rsidR="00D565F5" w:rsidRPr="00D565F5">
        <w:rPr>
          <w:rFonts w:ascii="Times New Roman" w:hAnsi="Times New Roman" w:cs="Times New Roman"/>
          <w:color w:val="000000" w:themeColor="text1"/>
        </w:rPr>
        <w:t xml:space="preserve">Figure </w:t>
      </w:r>
      <w:r w:rsidR="00D565F5" w:rsidRPr="00D565F5">
        <w:rPr>
          <w:rFonts w:ascii="Times New Roman" w:hAnsi="Times New Roman" w:cs="Times New Roman"/>
          <w:color w:val="000000" w:themeColor="text1"/>
        </w:rPr>
        <w:lastRenderedPageBreak/>
        <w:t>S6</w:t>
      </w:r>
      <w:r w:rsidR="00CF244A" w:rsidRPr="00000255">
        <w:rPr>
          <w:rFonts w:ascii="Times New Roman" w:hAnsi="Times New Roman" w:cs="Times New Roman"/>
        </w:rPr>
        <w:fldChar w:fldCharType="end"/>
      </w:r>
      <w:r w:rsidR="00CF244A" w:rsidRPr="00000255">
        <w:rPr>
          <w:rFonts w:ascii="Times New Roman" w:hAnsi="Times New Roman" w:cs="Times New Roman"/>
        </w:rPr>
        <w:t>)</w:t>
      </w:r>
      <w:r w:rsidR="00CF244A">
        <w:rPr>
          <w:rFonts w:ascii="Times New Roman" w:hAnsi="Times New Roman" w:cs="Times New Roman"/>
        </w:rPr>
        <w:t>.</w:t>
      </w:r>
      <w:r w:rsidR="002059BA">
        <w:rPr>
          <w:rFonts w:ascii="Times New Roman" w:hAnsi="Times New Roman" w:cs="Times New Roman"/>
        </w:rPr>
        <w:t xml:space="preserve"> This is based on experimental data</w:t>
      </w:r>
      <w:r w:rsidR="000C56F2">
        <w:rPr>
          <w:rFonts w:ascii="Times New Roman" w:hAnsi="Times New Roman" w:cs="Times New Roman"/>
        </w:rPr>
        <w:t xml:space="preserve"> </w:t>
      </w:r>
      <w:proofErr w:type="gramStart"/>
      <w:r w:rsidR="000C56F2">
        <w:rPr>
          <w:rFonts w:ascii="Times New Roman" w:hAnsi="Times New Roman" w:cs="Times New Roman"/>
        </w:rPr>
        <w:t>at</w:t>
      </w:r>
      <w:proofErr w:type="gramEnd"/>
      <w:r w:rsidR="000C56F2">
        <w:rPr>
          <w:rFonts w:ascii="Times New Roman" w:hAnsi="Times New Roman" w:cs="Times New Roman"/>
        </w:rPr>
        <w:t xml:space="preserve"> 2040–3120 bar and 1050 </w:t>
      </w:r>
      <w:r w:rsidR="000C56F2" w:rsidRPr="00CC0D73">
        <w:rPr>
          <w:rFonts w:ascii="Times New Roman" w:hAnsi="Times New Roman" w:cs="Times New Roman"/>
        </w:rPr>
        <w:t>°C</w:t>
      </w:r>
      <w:r w:rsidR="000C56F2">
        <w:rPr>
          <w:rFonts w:ascii="Times New Roman" w:hAnsi="Times New Roman" w:cs="Times New Roman"/>
        </w:rPr>
        <w:t>.</w:t>
      </w:r>
      <w:r w:rsidR="005068A3">
        <w:rPr>
          <w:rFonts w:ascii="Times New Roman" w:hAnsi="Times New Roman" w:cs="Times New Roman"/>
        </w:rPr>
        <w:t xml:space="preserve"> </w:t>
      </w:r>
      <w:r w:rsidR="00CF244A">
        <w:rPr>
          <w:rFonts w:ascii="Times New Roman" w:hAnsi="Times New Roman" w:cs="Times New Roman"/>
        </w:rPr>
        <w:t>We</w:t>
      </w:r>
      <w:r w:rsidR="005068A3">
        <w:rPr>
          <w:rFonts w:ascii="Times New Roman" w:hAnsi="Times New Roman" w:cs="Times New Roman"/>
        </w:rPr>
        <w:t xml:space="preserve"> use the value </w:t>
      </w:r>
      <w:r w:rsidR="00B22D0E">
        <w:rPr>
          <w:rFonts w:ascii="Times New Roman" w:hAnsi="Times New Roman" w:cs="Times New Roman"/>
        </w:rPr>
        <w:t>for</w:t>
      </w:r>
      <w:r w:rsidR="005068A3">
        <w:rPr>
          <w:rFonts w:ascii="Times New Roman" w:hAnsi="Times New Roman" w:cs="Times New Roman"/>
        </w:rPr>
        <w:t xml:space="preserve"> basalt in our modelling</w:t>
      </w:r>
      <w:r w:rsidR="009138EB" w:rsidRPr="00000255">
        <w:rPr>
          <w:rFonts w:ascii="Times New Roman" w:hAnsi="Times New Roman" w:cs="Times New Roman"/>
        </w:rPr>
        <w:t xml:space="preserve">. </w:t>
      </w:r>
    </w:p>
    <w:p w14:paraId="24BC7A73" w14:textId="24611B0D" w:rsidR="00000255" w:rsidRDefault="004946D7" w:rsidP="004946D7">
      <w:pPr>
        <w:keepNext/>
        <w:jc w:val="center"/>
      </w:pPr>
      <w:r>
        <w:rPr>
          <w:noProof/>
        </w:rPr>
        <w:drawing>
          <wp:inline distT="0" distB="0" distL="0" distR="0" wp14:anchorId="41F295D3" wp14:editId="126A8ABC">
            <wp:extent cx="4584700" cy="27559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84700" cy="2755900"/>
                    </a:xfrm>
                    <a:prstGeom prst="rect">
                      <a:avLst/>
                    </a:prstGeom>
                  </pic:spPr>
                </pic:pic>
              </a:graphicData>
            </a:graphic>
          </wp:inline>
        </w:drawing>
      </w:r>
    </w:p>
    <w:p w14:paraId="2C2C8726" w14:textId="5FC533DE" w:rsidR="007716CC" w:rsidRDefault="00000255" w:rsidP="0022237F">
      <w:pPr>
        <w:pStyle w:val="Caption"/>
        <w:spacing w:after="0"/>
        <w:ind w:firstLine="0"/>
      </w:pPr>
      <w:bookmarkStart w:id="15" w:name="_Ref109036183"/>
      <w:r w:rsidRPr="00D565F5">
        <w:rPr>
          <w:color w:val="000000" w:themeColor="text1"/>
          <w:sz w:val="24"/>
          <w:szCs w:val="24"/>
        </w:rPr>
        <w:t>Figure S</w:t>
      </w:r>
      <w:r w:rsidRPr="00D565F5">
        <w:rPr>
          <w:i w:val="0"/>
          <w:iCs w:val="0"/>
          <w:color w:val="000000" w:themeColor="text1"/>
        </w:rPr>
        <w:fldChar w:fldCharType="begin"/>
      </w:r>
      <w:r w:rsidRPr="00D565F5">
        <w:rPr>
          <w:color w:val="000000" w:themeColor="text1"/>
          <w:sz w:val="24"/>
          <w:szCs w:val="24"/>
        </w:rPr>
        <w:instrText xml:space="preserve"> SEQ Figure \* ARABIC </w:instrText>
      </w:r>
      <w:r w:rsidRPr="00D565F5">
        <w:rPr>
          <w:i w:val="0"/>
          <w:iCs w:val="0"/>
          <w:color w:val="000000" w:themeColor="text1"/>
        </w:rPr>
        <w:fldChar w:fldCharType="separate"/>
      </w:r>
      <w:r w:rsidR="009E5695">
        <w:rPr>
          <w:noProof/>
          <w:color w:val="000000" w:themeColor="text1"/>
          <w:sz w:val="24"/>
          <w:szCs w:val="24"/>
        </w:rPr>
        <w:t>6</w:t>
      </w:r>
      <w:r w:rsidRPr="00D565F5">
        <w:rPr>
          <w:i w:val="0"/>
          <w:iCs w:val="0"/>
          <w:color w:val="000000" w:themeColor="text1"/>
        </w:rPr>
        <w:fldChar w:fldCharType="end"/>
      </w:r>
      <w:bookmarkEnd w:id="15"/>
      <w:r w:rsidRPr="00D565F5">
        <w:rPr>
          <w:i w:val="0"/>
          <w:iCs w:val="0"/>
          <w:color w:val="000000" w:themeColor="text1"/>
          <w:sz w:val="24"/>
          <w:szCs w:val="24"/>
        </w:rPr>
        <w:t xml:space="preserve"> </w:t>
      </w:r>
      <w:r w:rsidR="004946D7">
        <w:rPr>
          <w:i w:val="0"/>
          <w:iCs w:val="0"/>
          <w:color w:val="000000" w:themeColor="text1"/>
          <w:sz w:val="24"/>
          <w:szCs w:val="24"/>
        </w:rPr>
        <w:t xml:space="preserve">Fitting the </w:t>
      </w:r>
      <w:r w:rsidRPr="00D565F5">
        <w:rPr>
          <w:i w:val="0"/>
          <w:iCs w:val="0"/>
          <w:color w:val="000000" w:themeColor="text1"/>
          <w:sz w:val="24"/>
          <w:szCs w:val="24"/>
        </w:rPr>
        <w:t>H</w:t>
      </w:r>
      <w:r w:rsidRPr="00D565F5">
        <w:rPr>
          <w:i w:val="0"/>
          <w:iCs w:val="0"/>
          <w:color w:val="000000" w:themeColor="text1"/>
          <w:sz w:val="24"/>
          <w:szCs w:val="24"/>
          <w:vertAlign w:val="subscript"/>
        </w:rPr>
        <w:t>2</w:t>
      </w:r>
      <w:r w:rsidRPr="00D565F5">
        <w:rPr>
          <w:i w:val="0"/>
          <w:iCs w:val="0"/>
          <w:color w:val="000000" w:themeColor="text1"/>
          <w:sz w:val="24"/>
          <w:szCs w:val="24"/>
        </w:rPr>
        <w:t xml:space="preserve">S </w:t>
      </w:r>
      <w:r w:rsidR="004946D7">
        <w:rPr>
          <w:i w:val="0"/>
          <w:iCs w:val="0"/>
          <w:color w:val="000000" w:themeColor="text1"/>
          <w:sz w:val="24"/>
          <w:szCs w:val="24"/>
        </w:rPr>
        <w:t>solubility function based on H</w:t>
      </w:r>
      <w:r w:rsidR="004946D7" w:rsidRPr="004946D7">
        <w:rPr>
          <w:i w:val="0"/>
          <w:iCs w:val="0"/>
          <w:color w:val="000000" w:themeColor="text1"/>
          <w:sz w:val="24"/>
          <w:szCs w:val="24"/>
          <w:vertAlign w:val="subscript"/>
        </w:rPr>
        <w:t>2</w:t>
      </w:r>
      <w:r w:rsidR="004946D7">
        <w:rPr>
          <w:i w:val="0"/>
          <w:iCs w:val="0"/>
          <w:color w:val="000000" w:themeColor="text1"/>
          <w:sz w:val="24"/>
          <w:szCs w:val="24"/>
        </w:rPr>
        <w:t xml:space="preserve">S </w:t>
      </w:r>
      <w:r w:rsidRPr="00D565F5">
        <w:rPr>
          <w:i w:val="0"/>
          <w:iCs w:val="0"/>
          <w:color w:val="000000" w:themeColor="text1"/>
          <w:sz w:val="24"/>
          <w:szCs w:val="24"/>
        </w:rPr>
        <w:t xml:space="preserve">vs. </w:t>
      </w:r>
      <w:r w:rsidRPr="00D565F5">
        <w:rPr>
          <w:color w:val="000000" w:themeColor="text1"/>
          <w:sz w:val="24"/>
          <w:szCs w:val="24"/>
        </w:rPr>
        <w:t>f</w:t>
      </w:r>
      <w:r w:rsidRPr="00D565F5">
        <w:rPr>
          <w:i w:val="0"/>
          <w:iCs w:val="0"/>
          <w:color w:val="000000" w:themeColor="text1"/>
          <w:sz w:val="24"/>
          <w:szCs w:val="24"/>
          <w:vertAlign w:val="subscript"/>
        </w:rPr>
        <w:t>H2S</w:t>
      </w:r>
      <w:r w:rsidRPr="00D565F5">
        <w:rPr>
          <w:i w:val="0"/>
          <w:iCs w:val="0"/>
          <w:color w:val="000000" w:themeColor="text1"/>
          <w:sz w:val="24"/>
          <w:szCs w:val="24"/>
        </w:rPr>
        <w:t xml:space="preserve"> calculated by</w:t>
      </w:r>
      <w:r w:rsidR="000B2742" w:rsidRPr="00D565F5">
        <w:rPr>
          <w:i w:val="0"/>
          <w:iCs w:val="0"/>
          <w:color w:val="000000" w:themeColor="text1"/>
          <w:sz w:val="24"/>
          <w:szCs w:val="24"/>
        </w:rPr>
        <w:t xml:space="preserve"> </w:t>
      </w:r>
      <w:r w:rsidR="000B2742" w:rsidRPr="00D565F5">
        <w:rPr>
          <w:color w:val="000000" w:themeColor="text1"/>
        </w:rPr>
        <w:fldChar w:fldCharType="begin" w:fldLock="1"/>
      </w:r>
      <w:r w:rsidR="000B2742" w:rsidRPr="00D565F5">
        <w:rPr>
          <w:i w:val="0"/>
          <w:iCs w:val="0"/>
          <w:color w:val="000000" w:themeColor="text1"/>
          <w:sz w:val="24"/>
          <w:szCs w:val="24"/>
        </w:rPr>
        <w:instrText>ADDIN CSL_CITATION {"citationItems":[{"id":"ITEM-1","itemData":{"DOI":"10.1016/J.CHEMGEO.2015.03.025","ISSN":"0009-2541","abstract":"Experiments were performed to determine the sulfur solubilities of hydrous basalts from Vesuvius, Etna and Stromboli (Italy). The melts were equilibrated at 1050 and 1200°C with H2O and sulfur (added as pyrrhotite), and at pressures ranging from 250 to 2000bar. Most experiments were performed under oxidising conditions (NNO+2), and a few under reducing conditions (NNO−1), with melt water contents of 0.5–3.5wt.%. Sulfur contents in glasses were determined by electron microprobe and range from 860 up to 6700ppm. No compositional effect is found between the three alkali basaltic melts. The fugacities of S-bearing species were derived using an MRK equation of state applied to an O–H–S fluid, knowing H2 and H2O fugacities, and range from 50 up to 3000bar. A thermodynamic species-based model is derived from our results along with available data in the literature, assuming that sulfur dissolution results from the additive contributions of both H2S and SO2 dissolution reactions. Compared to similar models developed for silicic melts, basalt compositions requires the incorporation of an Fe term, which accounts for the strong association between Fe and S in silicate melts, and considers the elevated Fe content of mafic melts. The model shows that, at any fixed fS2, the sulfur solubility in hydrous basalt displays a pronounced minimum around NNO, the position of which depends on temperature. The minimum in sulfur solubility coincides with the redox range were the abundance of S2 in the fluid reaches its maximum compared to either H2S or SO2 species. Such a minimum in solubility is in agreement with experimental constraints at 1bar under carefully controlled fO2 and fS2. Calculated proportions of dissolved species in the melt depend on the prevailing fS2 and fO2, being in general agreement with available spectroscopic models. Calculations of gas saturation pressures, which classically consider only H2O and CO2 dissolved volatiles, are strongly affected by S-bearing species. At fO2 close to, or higher than, NNO+1, omission of sulfur species may result in underestimates of gas saturation pressures of 1kbar or more. The same happens at fO2 below NNO−1.","author":[{"dropping-particle":"","family":"Lesne","given":"Priscille","non-dropping-particle":"","parse-names":false,"suffix":""},{"dropping-particle":"","family":"Scaillet","given":"Bruno","non-dropping-particle":"","parse-names":false,"suffix":""},{"dropping-particle":"","family":"Pichavant","given":"Michel","non-dropping-particle":"","parse-names":false,"suffix":""}],"container-title":"Chemical Geology","id":"ITEM-1","issued":{"date-parts":[["2015","12","15"]]},"page":"104-116","publisher":"Elsevier","title":"The solubility of sulfur in hydrous basaltic melts","type":"article-journal","volume":"418"},"uris":["http://www.mendeley.com/documents/?uuid=8b5c3418-59ee-31b8-bbf9-6889a5f15dfc"]}],"mendeley":{"formattedCitation":"(Lesne et al., 2015)","manualFormatting":"Lesne et al. (2015)","plainTextFormattedCitation":"(Lesne et al., 2015)","previouslyFormattedCitation":"(Lesne et al., 2015)"},"properties":{"noteIndex":0},"schema":"https://github.com/citation-style-language/schema/raw/master/csl-citation.json"}</w:instrText>
      </w:r>
      <w:r w:rsidR="000B2742" w:rsidRPr="00D565F5">
        <w:rPr>
          <w:color w:val="000000" w:themeColor="text1"/>
        </w:rPr>
        <w:fldChar w:fldCharType="separate"/>
      </w:r>
      <w:r w:rsidR="000B2742" w:rsidRPr="00D565F5">
        <w:rPr>
          <w:i w:val="0"/>
          <w:iCs w:val="0"/>
          <w:noProof/>
          <w:color w:val="000000" w:themeColor="text1"/>
          <w:sz w:val="24"/>
          <w:szCs w:val="24"/>
        </w:rPr>
        <w:t>Lesne et al. (2015)</w:t>
      </w:r>
      <w:r w:rsidR="000B2742" w:rsidRPr="00D565F5">
        <w:rPr>
          <w:color w:val="000000" w:themeColor="text1"/>
        </w:rPr>
        <w:fldChar w:fldCharType="end"/>
      </w:r>
      <w:r w:rsidRPr="00D565F5">
        <w:rPr>
          <w:i w:val="0"/>
          <w:iCs w:val="0"/>
          <w:color w:val="000000" w:themeColor="text1"/>
          <w:sz w:val="24"/>
          <w:szCs w:val="24"/>
        </w:rPr>
        <w:t xml:space="preserve"> </w:t>
      </w:r>
      <w:r w:rsidR="003C2B11">
        <w:rPr>
          <w:i w:val="0"/>
          <w:iCs w:val="0"/>
          <w:color w:val="000000" w:themeColor="text1"/>
          <w:sz w:val="24"/>
          <w:szCs w:val="24"/>
        </w:rPr>
        <w:t>using</w:t>
      </w:r>
      <w:r w:rsidR="003C2B11" w:rsidRPr="00D565F5">
        <w:rPr>
          <w:i w:val="0"/>
          <w:iCs w:val="0"/>
          <w:color w:val="000000" w:themeColor="text1"/>
          <w:sz w:val="24"/>
          <w:szCs w:val="24"/>
        </w:rPr>
        <w:t xml:space="preserve"> </w:t>
      </w:r>
      <w:r w:rsidRPr="00D565F5">
        <w:rPr>
          <w:i w:val="0"/>
          <w:iCs w:val="0"/>
          <w:color w:val="000000" w:themeColor="text1"/>
          <w:sz w:val="24"/>
          <w:szCs w:val="24"/>
        </w:rPr>
        <w:t>data from</w:t>
      </w:r>
      <w:r w:rsidR="000B2742" w:rsidRPr="00D565F5">
        <w:rPr>
          <w:i w:val="0"/>
          <w:iCs w:val="0"/>
          <w:color w:val="000000" w:themeColor="text1"/>
          <w:sz w:val="24"/>
          <w:szCs w:val="24"/>
        </w:rPr>
        <w:t xml:space="preserve"> </w:t>
      </w:r>
      <w:r w:rsidR="000B2742" w:rsidRPr="00D565F5">
        <w:rPr>
          <w:color w:val="000000" w:themeColor="text1"/>
        </w:rPr>
        <w:fldChar w:fldCharType="begin" w:fldLock="1"/>
      </w:r>
      <w:r w:rsidR="000B2742" w:rsidRPr="00D565F5">
        <w:rPr>
          <w:i w:val="0"/>
          <w:iCs w:val="0"/>
          <w:color w:val="000000" w:themeColor="text1"/>
          <w:sz w:val="24"/>
          <w:szCs w:val="24"/>
        </w:rPr>
        <w:instrText>ADDIN CSL_CITATION {"citationItems":[{"id":"ITEM-1","itemData":{"DOI":"10.1007/s00410-008-0359-0","ISSN":"0010-7999","abstract":"The solubility of sulphur in sulphide-saturated, H2O-bearing basaltic–andesitic and basaltic melts from Hekla volcano (Iceland) has been determined experimentally at 1,050°C, 300 and 200 MPa, and redox conditions with oxygen fugacity (logfO2) between QFM−1.2 and QFM+1.1 (QFM is a quartz–fayalite–magnetite oxygen buffer) in the systems containing various amounts of S and H2O. The S content of the H2O-rich glasses saturated with pyrrhotite decreases from 2,500 ppm in basalt to 1,500 ppm in basaltic andesite at the investigated conditions. Furthermore, the reduction of water content in the melt at pyrrhotite saturation and fixed T, P and redox conditions leads to a decrease in S concentration from 2,500 to 1,400 ppm for basaltic experiments (for H2O decrease from 7.8 to 1.4 wt%) and from 1,500 to 900 ppm (for H2O decrease from 6.7 to 1.7 wt%) for basaltic andesitic experiments. Our experimental data, combined with silicate melt inclusion investigations and the available models on sulphide saturation in mafic magmas, indicate that the parental basaltic melts of Hekla were not saturated with respect to sulphide. During magmatic differentiation, the S content in the residual melts increased and might have reached sulphide saturation with 2,500 ppm dissolved S. With further magma crystallization, the S concentration in the melt was controlled by the sulphide saturation of the magma, decreasing from ~2,500 to 900 ppm S.","author":[{"dropping-particle":"","family":"Moune","given":"Séverine","non-dropping-particle":"","parse-names":false,"suffix":""},{"dropping-particle":"","family":"Holtz","given":"François","non-dropping-particle":"","parse-names":false,"suffix":""},{"dropping-particle":"","family":"Botcharnikov","given":"Roman E.","non-dropping-particle":"","parse-names":false,"suffix":""}],"container-title":"Contributions to Mineralogy and Petrology","id":"ITEM-1","issue":"6","issued":{"date-parts":[["2009","6","2"]]},"page":"691-707","publisher":"Springer","title":"Sulphur solubility in andesitic to basaltic melts: implications for Hekla volcano","type":"article-journal","volume":"157"},"uris":["http://www.mendeley.com/documents/?uuid=d9f9a41a-1ffd-37d0-a592-3ef96a69d592"]}],"mendeley":{"formattedCitation":"(Moune et al., 2009)","manualFormatting":"Moune et al. (2009)","plainTextFormattedCitation":"(Moune et al., 2009)","previouslyFormattedCitation":"(Moune et al., 2009)"},"properties":{"noteIndex":0},"schema":"https://github.com/citation-style-language/schema/raw/master/csl-citation.json"}</w:instrText>
      </w:r>
      <w:r w:rsidR="000B2742" w:rsidRPr="00D565F5">
        <w:rPr>
          <w:color w:val="000000" w:themeColor="text1"/>
        </w:rPr>
        <w:fldChar w:fldCharType="separate"/>
      </w:r>
      <w:r w:rsidR="000B2742" w:rsidRPr="00D565F5">
        <w:rPr>
          <w:i w:val="0"/>
          <w:iCs w:val="0"/>
          <w:noProof/>
          <w:color w:val="000000" w:themeColor="text1"/>
          <w:sz w:val="24"/>
          <w:szCs w:val="24"/>
        </w:rPr>
        <w:t>Moune et al. (2009)</w:t>
      </w:r>
      <w:r w:rsidR="000B2742" w:rsidRPr="00D565F5">
        <w:rPr>
          <w:color w:val="000000" w:themeColor="text1"/>
        </w:rPr>
        <w:fldChar w:fldCharType="end"/>
      </w:r>
      <w:r w:rsidRPr="00D565F5">
        <w:rPr>
          <w:i w:val="0"/>
          <w:iCs w:val="0"/>
          <w:color w:val="000000" w:themeColor="text1"/>
          <w:sz w:val="24"/>
          <w:szCs w:val="24"/>
        </w:rPr>
        <w:t xml:space="preserve"> for basaltic (blue circles) and basaltic andesite (red squares) melt composition. </w:t>
      </w:r>
      <w:bookmarkStart w:id="16" w:name="OLE_LINK2"/>
      <w:r w:rsidRPr="00D565F5">
        <w:rPr>
          <w:i w:val="0"/>
          <w:iCs w:val="0"/>
          <w:color w:val="000000" w:themeColor="text1"/>
          <w:sz w:val="24"/>
          <w:szCs w:val="24"/>
        </w:rPr>
        <w:t xml:space="preserve">Linear regressions for each composition are used to calculate </w:t>
      </w:r>
      <w:r w:rsidR="003C2B11" w:rsidRPr="003C2B11">
        <w:rPr>
          <w:color w:val="000000" w:themeColor="text1"/>
          <w:sz w:val="24"/>
          <w:szCs w:val="24"/>
        </w:rPr>
        <w:t>C</w:t>
      </w:r>
      <w:r w:rsidR="003C2B11" w:rsidRPr="003C2B11">
        <w:rPr>
          <w:i w:val="0"/>
          <w:iCs w:val="0"/>
          <w:color w:val="000000" w:themeColor="text1"/>
          <w:sz w:val="24"/>
          <w:szCs w:val="24"/>
          <w:vertAlign w:val="subscript"/>
        </w:rPr>
        <w:t>H2Smol</w:t>
      </w:r>
      <w:r w:rsidRPr="00D565F5">
        <w:rPr>
          <w:i w:val="0"/>
          <w:iCs w:val="0"/>
          <w:color w:val="000000" w:themeColor="text1"/>
          <w:sz w:val="24"/>
          <w:szCs w:val="24"/>
        </w:rPr>
        <w:t xml:space="preserve">. </w:t>
      </w:r>
      <w:bookmarkEnd w:id="16"/>
    </w:p>
    <w:p w14:paraId="14ECBB6B" w14:textId="77777777" w:rsidR="00267421" w:rsidRPr="00267421" w:rsidRDefault="00267421" w:rsidP="00267421"/>
    <w:p w14:paraId="4FF0C024" w14:textId="61187D81" w:rsidR="00267421" w:rsidRDefault="00267421" w:rsidP="00267421">
      <w:pPr>
        <w:pStyle w:val="Heading3"/>
      </w:pPr>
      <w:r>
        <w:t xml:space="preserve">Oxygen fugacity </w:t>
      </w:r>
      <w:r w:rsidR="00311C9F">
        <w:t>and iron redox</w:t>
      </w:r>
    </w:p>
    <w:p w14:paraId="6B60AEBC" w14:textId="60B37807" w:rsidR="00C34E67" w:rsidRDefault="00311C9F" w:rsidP="00147AF9">
      <w:pPr>
        <w:ind w:firstLine="432"/>
        <w:jc w:val="both"/>
        <w:rPr>
          <w:rFonts w:ascii="Times New Roman" w:hAnsi="Times New Roman" w:cs="Times New Roman"/>
        </w:rPr>
      </w:pPr>
      <w:r>
        <w:rPr>
          <w:rFonts w:ascii="Times New Roman" w:hAnsi="Times New Roman" w:cs="Times New Roman"/>
        </w:rPr>
        <w:t xml:space="preserve">Conversion between absolute oxygen fugacity and </w:t>
      </w:r>
      <w:r w:rsidRPr="00735EA5">
        <w:rPr>
          <w:rFonts w:ascii="Times New Roman" w:hAnsi="Times New Roman"/>
          <w:iCs/>
        </w:rPr>
        <w:t>Δ</w:t>
      </w:r>
      <w:r>
        <w:rPr>
          <w:rFonts w:ascii="Times New Roman" w:hAnsi="Times New Roman"/>
          <w:iCs/>
        </w:rPr>
        <w:t xml:space="preserve">FMQ (relative to the Fayalite-Magnetite-Quartz buffer) uses </w:t>
      </w:r>
      <w:r>
        <w:rPr>
          <w:rFonts w:ascii="Times New Roman" w:hAnsi="Times New Roman" w:cs="Times New Roman"/>
          <w:color w:val="000000" w:themeColor="text1"/>
        </w:rPr>
        <w:t>FM</w:t>
      </w:r>
      <w:r w:rsidRPr="00AC70A1">
        <w:rPr>
          <w:rFonts w:ascii="Times New Roman" w:hAnsi="Times New Roman" w:cs="Times New Roman"/>
          <w:color w:val="000000" w:themeColor="text1"/>
        </w:rPr>
        <w:t>β</w:t>
      </w:r>
      <w:r>
        <w:rPr>
          <w:rFonts w:ascii="Times New Roman" w:hAnsi="Times New Roman" w:cs="Times New Roman"/>
          <w:color w:val="000000" w:themeColor="text1"/>
        </w:rPr>
        <w:t xml:space="preserve">Q from </w:t>
      </w:r>
      <w:r>
        <w:rPr>
          <w:rFonts w:ascii="Times New Roman" w:hAnsi="Times New Roman" w:cs="Times New Roman"/>
          <w:color w:val="000000" w:themeColor="text1"/>
        </w:rPr>
        <w:fldChar w:fldCharType="begin" w:fldLock="1"/>
      </w:r>
      <w:r w:rsidR="000F0BD4">
        <w:rPr>
          <w:rFonts w:ascii="Times New Roman" w:hAnsi="Times New Roman" w:cs="Times New Roman"/>
          <w:color w:val="000000" w:themeColor="text1"/>
        </w:rPr>
        <w:instrText>ADDIN CSL_CITATION {"citationItems":[{"id":"ITEM-1","itemData":{"author":[{"dropping-particle":"","family":"Frost","given":"B.R.","non-dropping-particle":"","parse-names":false,"suffix":""}],"container-title":"Reviews in Mineralogy and Geochemistry","id":"ITEM-1","issued":{"date-parts":[["1991"]]},"page":"1-9","title":"Introduction to oxygen fugacity and its petrologic importance","type":"article-journal","volume":"25"},"uris":["http://www.mendeley.com/documents/?uuid=70e1612a-8a8a-33bd-ab8d-03de936a01fd"]}],"mendeley":{"formattedCitation":"(Frost, 1991)","manualFormatting":"Frost (1991)","plainTextFormattedCitation":"(Frost, 1991)","previouslyFormattedCitation":"(Frost, 1991)"},"properties":{"noteIndex":0},"schema":"https://github.com/citation-style-language/schema/raw/master/csl-citation.json"}</w:instrText>
      </w:r>
      <w:r>
        <w:rPr>
          <w:rFonts w:ascii="Times New Roman" w:hAnsi="Times New Roman" w:cs="Times New Roman"/>
          <w:color w:val="000000" w:themeColor="text1"/>
        </w:rPr>
        <w:fldChar w:fldCharType="separate"/>
      </w:r>
      <w:r w:rsidRPr="00037412">
        <w:rPr>
          <w:rFonts w:ascii="Times New Roman" w:hAnsi="Times New Roman" w:cs="Times New Roman"/>
          <w:noProof/>
          <w:color w:val="000000" w:themeColor="text1"/>
        </w:rPr>
        <w:t xml:space="preserve">Frost </w:t>
      </w:r>
      <w:r>
        <w:rPr>
          <w:rFonts w:ascii="Times New Roman" w:hAnsi="Times New Roman" w:cs="Times New Roman"/>
          <w:noProof/>
          <w:color w:val="000000" w:themeColor="text1"/>
        </w:rPr>
        <w:t>(</w:t>
      </w:r>
      <w:r w:rsidRPr="00037412">
        <w:rPr>
          <w:rFonts w:ascii="Times New Roman" w:hAnsi="Times New Roman" w:cs="Times New Roman"/>
          <w:noProof/>
          <w:color w:val="000000" w:themeColor="text1"/>
        </w:rPr>
        <w:t>1991)</w:t>
      </w:r>
      <w:r>
        <w:rPr>
          <w:rFonts w:ascii="Times New Roman" w:hAnsi="Times New Roman" w:cs="Times New Roman"/>
          <w:color w:val="000000" w:themeColor="text1"/>
        </w:rPr>
        <w:fldChar w:fldCharType="end"/>
      </w:r>
      <w:r w:rsidR="008A57D7">
        <w:rPr>
          <w:rFonts w:ascii="Times New Roman" w:hAnsi="Times New Roman" w:cs="Times New Roman"/>
          <w:color w:val="000000" w:themeColor="text1"/>
        </w:rPr>
        <w:t>.</w:t>
      </w:r>
      <w:r>
        <w:rPr>
          <w:rFonts w:ascii="Times New Roman" w:hAnsi="Times New Roman" w:cs="Times New Roman"/>
        </w:rPr>
        <w:t xml:space="preserve"> </w:t>
      </w:r>
      <w:r w:rsidR="00B47EC1" w:rsidRPr="00B47EC1">
        <w:rPr>
          <w:rFonts w:ascii="Times New Roman" w:hAnsi="Times New Roman" w:cs="Times New Roman"/>
        </w:rPr>
        <w:t xml:space="preserve">We use the relationships given in the appendix of </w:t>
      </w:r>
      <w:r w:rsidR="00B47EC1" w:rsidRPr="00B47EC1">
        <w:rPr>
          <w:rFonts w:ascii="Times New Roman" w:hAnsi="Times New Roman" w:cs="Times New Roman"/>
        </w:rPr>
        <w:fldChar w:fldCharType="begin" w:fldLock="1"/>
      </w:r>
      <w:r w:rsidR="000F0BD4">
        <w:rPr>
          <w:rFonts w:ascii="Times New Roman" w:hAnsi="Times New Roman" w:cs="Times New Roman"/>
        </w:rPr>
        <w:instrText>ADDIN CSL_CITATION {"citationItems":[{"id":"ITEM-1","itemData":{"DOI":"10.1007/BF00307328","ISSN":"0010-7999","author":[{"dropping-particle":"","family":"Kress","given":"Victor C.","non-dropping-particle":"","parse-names":false,"suffix":""},{"dropping-particle":"","family":"Carmichael","given":"Ian S.E.","non-dropping-particle":"","parse-names":false,"suffix":""}],"container-title":"Contributions to Mineralogy and Petrology","id":"ITEM-1","issue":"1-2","issued":{"date-parts":[["1991","7"]]},"page":"82-92","publisher":"Springer-Verlag","title":"The compressibility of silicate liquids containing Fe2O3 and the effect of composition, temperature, oxygen fugacity and pressure on their redox states","type":"article-journal","volume":"108"},"uris":["http://www.mendeley.com/documents/?uuid=4fd02c6e-2af3-3005-b01a-e2a8c18e2b90"]}],"mendeley":{"formattedCitation":"(Kress and Carmichael, 1991)","manualFormatting":"Kress and Carmichael (1991)","plainTextFormattedCitation":"(Kress and Carmichael, 1991)","previouslyFormattedCitation":"(Kress and Carmichael, 1991)"},"properties":{"noteIndex":0},"schema":"https://github.com/citation-style-language/schema/raw/master/csl-citation.json"}</w:instrText>
      </w:r>
      <w:r w:rsidR="00B47EC1" w:rsidRPr="00B47EC1">
        <w:rPr>
          <w:rFonts w:ascii="Times New Roman" w:hAnsi="Times New Roman" w:cs="Times New Roman"/>
        </w:rPr>
        <w:fldChar w:fldCharType="separate"/>
      </w:r>
      <w:r w:rsidR="00B47EC1" w:rsidRPr="00B47EC1">
        <w:rPr>
          <w:rFonts w:ascii="Times New Roman" w:hAnsi="Times New Roman" w:cs="Times New Roman"/>
          <w:noProof/>
        </w:rPr>
        <w:t>Kress and Carmichael (1991)</w:t>
      </w:r>
      <w:r w:rsidR="00B47EC1" w:rsidRPr="00B47EC1">
        <w:rPr>
          <w:rFonts w:ascii="Times New Roman" w:hAnsi="Times New Roman" w:cs="Times New Roman"/>
        </w:rPr>
        <w:fldChar w:fldCharType="end"/>
      </w:r>
      <w:r w:rsidR="00B47EC1" w:rsidRPr="00B47EC1">
        <w:rPr>
          <w:rFonts w:ascii="Times New Roman" w:hAnsi="Times New Roman" w:cs="Times New Roman"/>
        </w:rPr>
        <w:t xml:space="preserve"> to relate </w:t>
      </w:r>
      <w:r w:rsidR="003C2B11" w:rsidRPr="003C2B11">
        <w:rPr>
          <w:rFonts w:ascii="Times New Roman" w:hAnsi="Times New Roman" w:cs="Times New Roman"/>
          <w:i/>
          <w:iCs/>
        </w:rPr>
        <w:t>f</w:t>
      </w:r>
      <w:r w:rsidR="003C2B11" w:rsidRPr="003C2B11">
        <w:rPr>
          <w:rFonts w:ascii="Times New Roman" w:hAnsi="Times New Roman" w:cs="Times New Roman"/>
          <w:vertAlign w:val="subscript"/>
        </w:rPr>
        <w:t>O2</w:t>
      </w:r>
      <w:r w:rsidR="00B47EC1" w:rsidRPr="00B47EC1">
        <w:rPr>
          <w:rFonts w:ascii="Times New Roman" w:hAnsi="Times New Roman" w:cs="Times New Roman"/>
        </w:rPr>
        <w:t xml:space="preserve"> to </w:t>
      </w:r>
      <w:r>
        <w:rPr>
          <w:rFonts w:ascii="Times New Roman" w:hAnsi="Times New Roman" w:cs="Times New Roman"/>
        </w:rPr>
        <w:t xml:space="preserve">melt </w:t>
      </w:r>
      <w:r w:rsidR="00B47EC1" w:rsidRPr="00B47EC1">
        <w:rPr>
          <w:rFonts w:ascii="Times New Roman" w:hAnsi="Times New Roman" w:cs="Times New Roman"/>
        </w:rPr>
        <w:t>Fe</w:t>
      </w:r>
      <w:r w:rsidR="00B47EC1" w:rsidRPr="00B47EC1">
        <w:rPr>
          <w:rFonts w:ascii="Times New Roman" w:hAnsi="Times New Roman" w:cs="Times New Roman"/>
          <w:vertAlign w:val="superscript"/>
        </w:rPr>
        <w:t>3+</w:t>
      </w:r>
      <w:r w:rsidR="00B47EC1" w:rsidRPr="00B47EC1">
        <w:rPr>
          <w:rFonts w:ascii="Times New Roman" w:hAnsi="Times New Roman" w:cs="Times New Roman"/>
        </w:rPr>
        <w:t>/Fe</w:t>
      </w:r>
      <w:r w:rsidR="00B47EC1" w:rsidRPr="00B47EC1">
        <w:rPr>
          <w:rFonts w:ascii="Times New Roman" w:hAnsi="Times New Roman" w:cs="Times New Roman"/>
          <w:vertAlign w:val="superscript"/>
        </w:rPr>
        <w:t>2+</w:t>
      </w:r>
      <w:r w:rsidR="00B47EC1" w:rsidRPr="00B47EC1">
        <w:rPr>
          <w:rFonts w:ascii="Times New Roman" w:hAnsi="Times New Roman" w:cs="Times New Roman"/>
        </w:rPr>
        <w:t xml:space="preserve"> (i.e., their equations A-1 through A-6 and Table A1)</w:t>
      </w:r>
      <w:r w:rsidR="00025126">
        <w:rPr>
          <w:rFonts w:ascii="Times New Roman" w:hAnsi="Times New Roman" w:cs="Times New Roman"/>
        </w:rPr>
        <w:t xml:space="preserve">, which is calibrated on a wide range of silicate compositions at 1200–1630 </w:t>
      </w:r>
      <w:r w:rsidR="00025126" w:rsidRPr="00C203DE">
        <w:rPr>
          <w:rFonts w:ascii="Times New Roman" w:hAnsi="Times New Roman" w:cs="Times New Roman"/>
        </w:rPr>
        <w:t>°</w:t>
      </w:r>
      <w:r w:rsidR="00025126">
        <w:rPr>
          <w:rFonts w:ascii="Times New Roman" w:hAnsi="Times New Roman" w:cs="Times New Roman"/>
        </w:rPr>
        <w:t xml:space="preserve">C and appropriate </w:t>
      </w:r>
      <w:r w:rsidR="003C2B11">
        <w:rPr>
          <w:rFonts w:ascii="Times New Roman" w:hAnsi="Times New Roman" w:cs="Times New Roman"/>
        </w:rPr>
        <w:t>for</w:t>
      </w:r>
      <w:r w:rsidR="00025126">
        <w:rPr>
          <w:rFonts w:ascii="Times New Roman" w:hAnsi="Times New Roman" w:cs="Times New Roman"/>
        </w:rPr>
        <w:t xml:space="preserve"> high pressures (30000 bar according to figures made in the</w:t>
      </w:r>
      <w:r w:rsidR="003C2B11">
        <w:rPr>
          <w:rFonts w:ascii="Times New Roman" w:hAnsi="Times New Roman" w:cs="Times New Roman"/>
        </w:rPr>
        <w:t>ir</w:t>
      </w:r>
      <w:r w:rsidR="00025126">
        <w:rPr>
          <w:rFonts w:ascii="Times New Roman" w:hAnsi="Times New Roman" w:cs="Times New Roman"/>
        </w:rPr>
        <w:t xml:space="preserve"> paper)</w:t>
      </w:r>
      <w:r w:rsidR="00B47EC1" w:rsidRPr="00B47EC1">
        <w:rPr>
          <w:rFonts w:ascii="Times New Roman" w:hAnsi="Times New Roman" w:cs="Times New Roman"/>
        </w:rPr>
        <w:t>.</w:t>
      </w:r>
    </w:p>
    <w:p w14:paraId="145538C5" w14:textId="77777777" w:rsidR="00C34E67" w:rsidRDefault="00C34E67" w:rsidP="00267421">
      <w:pPr>
        <w:jc w:val="both"/>
        <w:rPr>
          <w:rFonts w:ascii="Times New Roman" w:hAnsi="Times New Roman" w:cs="Times New Roman"/>
        </w:rPr>
      </w:pPr>
    </w:p>
    <w:p w14:paraId="0F3BFA76" w14:textId="31D2AB35" w:rsidR="00C62730" w:rsidRDefault="00C62730">
      <w:pPr>
        <w:rPr>
          <w:rFonts w:asciiTheme="majorBidi" w:eastAsiaTheme="majorEastAsia" w:hAnsiTheme="majorBidi" w:cs="Times New Roman"/>
          <w:b/>
          <w:color w:val="000000" w:themeColor="text1"/>
          <w:szCs w:val="32"/>
        </w:rPr>
      </w:pPr>
    </w:p>
    <w:p w14:paraId="14C337E0" w14:textId="2DB6E6EE" w:rsidR="00F8392A" w:rsidRPr="00416F60" w:rsidRDefault="006A480E" w:rsidP="00416F60">
      <w:pPr>
        <w:pStyle w:val="Heading1"/>
      </w:pPr>
      <w:r>
        <w:t xml:space="preserve">Calculating </w:t>
      </w:r>
      <w:proofErr w:type="spellStart"/>
      <w:r w:rsidRPr="006A480E">
        <w:rPr>
          <w:i/>
          <w:iCs/>
        </w:rPr>
        <w:t>P</w:t>
      </w:r>
      <w:r w:rsidRPr="006A480E">
        <w:rPr>
          <w:i/>
          <w:iCs/>
          <w:vertAlign w:val="superscript"/>
        </w:rPr>
        <w:t>v</w:t>
      </w:r>
      <w:r w:rsidRPr="006A480E">
        <w:rPr>
          <w:vertAlign w:val="subscript"/>
        </w:rPr>
        <w:t>sat</w:t>
      </w:r>
      <w:proofErr w:type="spellEnd"/>
      <w:r w:rsidR="003943E8">
        <w:t>, vapor composition, and melt speciation</w:t>
      </w:r>
    </w:p>
    <w:p w14:paraId="61E1DFFD" w14:textId="7BFBAB2A" w:rsidR="00000713" w:rsidRPr="00000713" w:rsidRDefault="00000713" w:rsidP="00000713">
      <w:pPr>
        <w:jc w:val="both"/>
        <w:rPr>
          <w:rFonts w:ascii="Times New Roman" w:hAnsi="Times New Roman"/>
        </w:rPr>
      </w:pPr>
      <w:r>
        <w:rPr>
          <w:rFonts w:ascii="Times New Roman" w:hAnsi="Times New Roman"/>
        </w:rPr>
        <w:t xml:space="preserve">Here we outline the approach for calculating </w:t>
      </w:r>
      <w:proofErr w:type="spellStart"/>
      <w:r>
        <w:rPr>
          <w:rFonts w:ascii="Times New Roman" w:hAnsi="Times New Roman"/>
          <w:i/>
          <w:iCs/>
        </w:rPr>
        <w:t>P</w:t>
      </w:r>
      <w:r w:rsidRPr="001930D3">
        <w:rPr>
          <w:rFonts w:ascii="Times New Roman" w:hAnsi="Times New Roman"/>
          <w:i/>
          <w:iCs/>
          <w:vertAlign w:val="superscript"/>
        </w:rPr>
        <w:t>v</w:t>
      </w:r>
      <w:r w:rsidRPr="001930D3">
        <w:rPr>
          <w:rFonts w:ascii="Times New Roman" w:hAnsi="Times New Roman"/>
          <w:vertAlign w:val="subscript"/>
        </w:rPr>
        <w:t>sat</w:t>
      </w:r>
      <w:proofErr w:type="spellEnd"/>
      <w:r w:rsidR="003943E8">
        <w:rPr>
          <w:rFonts w:ascii="Times New Roman" w:hAnsi="Times New Roman"/>
        </w:rPr>
        <w:t>,</w:t>
      </w:r>
      <w:r>
        <w:rPr>
          <w:rFonts w:ascii="Times New Roman" w:hAnsi="Times New Roman"/>
        </w:rPr>
        <w:t xml:space="preserve"> </w:t>
      </w:r>
      <w:r w:rsidR="003943E8">
        <w:rPr>
          <w:rFonts w:ascii="Times New Roman" w:hAnsi="Times New Roman"/>
        </w:rPr>
        <w:t xml:space="preserve">vapor composition, and </w:t>
      </w:r>
      <w:r>
        <w:rPr>
          <w:rFonts w:ascii="Times New Roman" w:hAnsi="Times New Roman"/>
        </w:rPr>
        <w:t xml:space="preserve">melt speciation described in Sections 2.3 and 2.4 </w:t>
      </w:r>
      <w:r w:rsidR="003943E8">
        <w:rPr>
          <w:rFonts w:ascii="Times New Roman" w:hAnsi="Times New Roman"/>
        </w:rPr>
        <w:t xml:space="preserve">of the main text </w:t>
      </w:r>
      <w:r>
        <w:rPr>
          <w:rFonts w:ascii="Times New Roman" w:hAnsi="Times New Roman"/>
        </w:rPr>
        <w:t xml:space="preserve">in more detail (a flow chart of this calculation is shown in </w:t>
      </w:r>
      <w:r w:rsidRPr="00000713">
        <w:rPr>
          <w:rFonts w:ascii="Times New Roman" w:hAnsi="Times New Roman" w:cs="Times New Roman"/>
        </w:rPr>
        <w:fldChar w:fldCharType="begin"/>
      </w:r>
      <w:r w:rsidRPr="00000713">
        <w:rPr>
          <w:rFonts w:ascii="Times New Roman" w:hAnsi="Times New Roman" w:cs="Times New Roman"/>
        </w:rPr>
        <w:instrText xml:space="preserve"> REF _Ref127358909 \h </w:instrText>
      </w:r>
      <w:r>
        <w:rPr>
          <w:rFonts w:ascii="Times New Roman" w:hAnsi="Times New Roman" w:cs="Times New Roman"/>
        </w:rPr>
        <w:instrText xml:space="preserve"> \* MERGEFORMAT </w:instrText>
      </w:r>
      <w:r w:rsidRPr="00000713">
        <w:rPr>
          <w:rFonts w:ascii="Times New Roman" w:hAnsi="Times New Roman" w:cs="Times New Roman"/>
        </w:rPr>
      </w:r>
      <w:r w:rsidRPr="00000713">
        <w:rPr>
          <w:rFonts w:ascii="Times New Roman" w:hAnsi="Times New Roman" w:cs="Times New Roman"/>
        </w:rPr>
        <w:fldChar w:fldCharType="separate"/>
      </w:r>
      <w:r w:rsidRPr="00000713">
        <w:rPr>
          <w:rFonts w:ascii="Times New Roman" w:hAnsi="Times New Roman" w:cs="Times New Roman"/>
          <w:color w:val="000000" w:themeColor="text1"/>
        </w:rPr>
        <w:t>Figure S</w:t>
      </w:r>
      <w:r w:rsidRPr="00000713">
        <w:rPr>
          <w:rFonts w:ascii="Times New Roman" w:hAnsi="Times New Roman" w:cs="Times New Roman"/>
          <w:noProof/>
          <w:color w:val="000000" w:themeColor="text1"/>
        </w:rPr>
        <w:t>7</w:t>
      </w:r>
      <w:r w:rsidRPr="00000713">
        <w:rPr>
          <w:rFonts w:ascii="Times New Roman" w:hAnsi="Times New Roman" w:cs="Times New Roman"/>
        </w:rPr>
        <w:fldChar w:fldCharType="end"/>
      </w:r>
      <w:r>
        <w:rPr>
          <w:rFonts w:ascii="Times New Roman" w:hAnsi="Times New Roman"/>
        </w:rPr>
        <w:t>).</w:t>
      </w:r>
    </w:p>
    <w:p w14:paraId="7D7C6D55" w14:textId="13EDD78A" w:rsidR="00F8392A" w:rsidRDefault="006A480E" w:rsidP="00187EFD">
      <w:pPr>
        <w:pStyle w:val="ListParagraph"/>
        <w:numPr>
          <w:ilvl w:val="0"/>
          <w:numId w:val="17"/>
        </w:numPr>
        <w:jc w:val="both"/>
        <w:rPr>
          <w:rFonts w:ascii="Times New Roman" w:hAnsi="Times New Roman"/>
        </w:rPr>
      </w:pPr>
      <w:r w:rsidRPr="00187EFD">
        <w:rPr>
          <w:rFonts w:ascii="Times New Roman" w:hAnsi="Times New Roman"/>
        </w:rPr>
        <w:t>The inputs for the calculation</w:t>
      </w:r>
      <w:r w:rsidR="00000713">
        <w:rPr>
          <w:rFonts w:ascii="Times New Roman" w:hAnsi="Times New Roman"/>
        </w:rPr>
        <w:t xml:space="preserve"> of </w:t>
      </w:r>
      <w:proofErr w:type="spellStart"/>
      <w:proofErr w:type="gramStart"/>
      <w:r w:rsidR="00000713">
        <w:rPr>
          <w:rFonts w:ascii="Times New Roman" w:hAnsi="Times New Roman"/>
          <w:i/>
          <w:iCs/>
        </w:rPr>
        <w:t>P</w:t>
      </w:r>
      <w:r w:rsidR="00000713" w:rsidRPr="001930D3">
        <w:rPr>
          <w:rFonts w:ascii="Times New Roman" w:hAnsi="Times New Roman"/>
          <w:i/>
          <w:iCs/>
          <w:vertAlign w:val="superscript"/>
        </w:rPr>
        <w:t>v</w:t>
      </w:r>
      <w:r w:rsidR="00000713" w:rsidRPr="001930D3">
        <w:rPr>
          <w:rFonts w:ascii="Times New Roman" w:hAnsi="Times New Roman"/>
          <w:vertAlign w:val="subscript"/>
        </w:rPr>
        <w:t>sat</w:t>
      </w:r>
      <w:proofErr w:type="spellEnd"/>
      <w:r w:rsidRPr="00187EFD">
        <w:rPr>
          <w:rFonts w:ascii="Times New Roman" w:hAnsi="Times New Roman"/>
        </w:rPr>
        <w:t xml:space="preserve"> </w:t>
      </w:r>
      <w:r w:rsidR="003943E8">
        <w:rPr>
          <w:rFonts w:ascii="Times New Roman" w:hAnsi="Times New Roman"/>
        </w:rPr>
        <w:t>,</w:t>
      </w:r>
      <w:proofErr w:type="gramEnd"/>
      <w:r w:rsidR="003943E8">
        <w:rPr>
          <w:rFonts w:ascii="Times New Roman" w:hAnsi="Times New Roman"/>
        </w:rPr>
        <w:t xml:space="preserve"> vapor composition, and melt speciation </w:t>
      </w:r>
      <w:r w:rsidRPr="00187EFD">
        <w:rPr>
          <w:rFonts w:ascii="Times New Roman" w:hAnsi="Times New Roman"/>
        </w:rPr>
        <w:t xml:space="preserve">are </w:t>
      </w:r>
      <w:r w:rsidRPr="00187EFD">
        <w:rPr>
          <w:rFonts w:ascii="Times New Roman" w:hAnsi="Times New Roman"/>
          <w:i/>
          <w:iCs/>
        </w:rPr>
        <w:t>T</w:t>
      </w:r>
      <w:r w:rsidRPr="00187EFD">
        <w:rPr>
          <w:rFonts w:ascii="Times New Roman" w:hAnsi="Times New Roman"/>
        </w:rPr>
        <w:t>, major element</w:t>
      </w:r>
      <w:r w:rsidR="00000713">
        <w:rPr>
          <w:rFonts w:ascii="Times New Roman" w:hAnsi="Times New Roman"/>
        </w:rPr>
        <w:t xml:space="preserve"> composition of the</w:t>
      </w:r>
      <w:r w:rsidRPr="00187EFD">
        <w:rPr>
          <w:rFonts w:ascii="Times New Roman" w:hAnsi="Times New Roman"/>
        </w:rPr>
        <w:t xml:space="preserve"> melt, concentrations</w:t>
      </w:r>
      <w:r w:rsidR="00000713">
        <w:rPr>
          <w:rFonts w:ascii="Times New Roman" w:hAnsi="Times New Roman"/>
        </w:rPr>
        <w:t xml:space="preserve"> of volatile components in the melt</w:t>
      </w:r>
      <w:r w:rsidRPr="00187EFD">
        <w:rPr>
          <w:rFonts w:ascii="Times New Roman" w:hAnsi="Times New Roman"/>
        </w:rPr>
        <w:t xml:space="preserve"> (H</w:t>
      </w:r>
      <w:r w:rsidRPr="00187EFD">
        <w:rPr>
          <w:rFonts w:ascii="Times New Roman" w:hAnsi="Times New Roman"/>
          <w:vertAlign w:val="subscript"/>
        </w:rPr>
        <w:t>2</w:t>
      </w:r>
      <w:r w:rsidRPr="00187EFD">
        <w:rPr>
          <w:rFonts w:ascii="Times New Roman" w:hAnsi="Times New Roman"/>
        </w:rPr>
        <w:t>O-eq, CO</w:t>
      </w:r>
      <w:r w:rsidRPr="00187EFD">
        <w:rPr>
          <w:rFonts w:ascii="Times New Roman" w:hAnsi="Times New Roman"/>
          <w:vertAlign w:val="subscript"/>
        </w:rPr>
        <w:t>2</w:t>
      </w:r>
      <w:r w:rsidRPr="00187EFD">
        <w:rPr>
          <w:rFonts w:ascii="Times New Roman" w:hAnsi="Times New Roman"/>
        </w:rPr>
        <w:t>-eq, and S-</w:t>
      </w:r>
      <w:proofErr w:type="spellStart"/>
      <w:r w:rsidRPr="00187EFD">
        <w:rPr>
          <w:rFonts w:ascii="Times New Roman" w:hAnsi="Times New Roman"/>
        </w:rPr>
        <w:t>eq</w:t>
      </w:r>
      <w:proofErr w:type="spellEnd"/>
      <w:r w:rsidRPr="00187EFD">
        <w:rPr>
          <w:rFonts w:ascii="Times New Roman" w:hAnsi="Times New Roman"/>
        </w:rPr>
        <w:t xml:space="preserve">), </w:t>
      </w:r>
      <w:r w:rsidRPr="00187EFD">
        <w:rPr>
          <w:rFonts w:ascii="Times New Roman" w:hAnsi="Times New Roman"/>
          <w:i/>
          <w:iCs/>
        </w:rPr>
        <w:t>f</w:t>
      </w:r>
      <w:r w:rsidRPr="00187EFD">
        <w:rPr>
          <w:rFonts w:ascii="Times New Roman" w:hAnsi="Times New Roman"/>
          <w:vertAlign w:val="subscript"/>
        </w:rPr>
        <w:t>O2</w:t>
      </w:r>
      <w:r w:rsidRPr="00187EFD">
        <w:rPr>
          <w:rFonts w:ascii="Times New Roman" w:hAnsi="Times New Roman"/>
        </w:rPr>
        <w:t xml:space="preserve"> or Fe</w:t>
      </w:r>
      <w:r w:rsidRPr="00187EFD">
        <w:rPr>
          <w:rFonts w:ascii="Times New Roman" w:hAnsi="Times New Roman"/>
          <w:vertAlign w:val="superscript"/>
        </w:rPr>
        <w:t>3+</w:t>
      </w:r>
      <w:r w:rsidRPr="00187EFD">
        <w:rPr>
          <w:rFonts w:ascii="Times New Roman" w:hAnsi="Times New Roman"/>
        </w:rPr>
        <w:t>/</w:t>
      </w:r>
      <w:proofErr w:type="spellStart"/>
      <w:r w:rsidRPr="00187EFD">
        <w:rPr>
          <w:rFonts w:ascii="Times New Roman" w:hAnsi="Times New Roman"/>
        </w:rPr>
        <w:t>Fe</w:t>
      </w:r>
      <w:r w:rsidRPr="00187EFD">
        <w:rPr>
          <w:rFonts w:ascii="Times New Roman" w:hAnsi="Times New Roman"/>
          <w:vertAlign w:val="subscript"/>
        </w:rPr>
        <w:t>T</w:t>
      </w:r>
      <w:proofErr w:type="spellEnd"/>
      <w:r w:rsidRPr="00187EFD">
        <w:rPr>
          <w:rFonts w:ascii="Times New Roman" w:hAnsi="Times New Roman"/>
        </w:rPr>
        <w:t xml:space="preserve">, </w:t>
      </w:r>
      <w:r w:rsidR="00187EFD" w:rsidRPr="00187EFD">
        <w:rPr>
          <w:rFonts w:ascii="Times New Roman" w:hAnsi="Times New Roman"/>
        </w:rPr>
        <w:t xml:space="preserve">tolerance of convergence </w:t>
      </w:r>
      <w:r w:rsidR="008A57D7">
        <w:rPr>
          <w:rFonts w:ascii="Times New Roman" w:hAnsi="Times New Roman"/>
        </w:rPr>
        <w:t xml:space="preserve">of </w:t>
      </w:r>
      <w:proofErr w:type="spellStart"/>
      <w:r w:rsidR="008A57D7">
        <w:rPr>
          <w:rFonts w:ascii="Times New Roman" w:hAnsi="Times New Roman"/>
          <w:i/>
          <w:iCs/>
        </w:rPr>
        <w:t>P</w:t>
      </w:r>
      <w:r w:rsidR="008A57D7" w:rsidRPr="001930D3">
        <w:rPr>
          <w:rFonts w:ascii="Times New Roman" w:hAnsi="Times New Roman"/>
          <w:i/>
          <w:iCs/>
          <w:vertAlign w:val="superscript"/>
        </w:rPr>
        <w:t>v</w:t>
      </w:r>
      <w:r w:rsidR="008A57D7" w:rsidRPr="001930D3">
        <w:rPr>
          <w:rFonts w:ascii="Times New Roman" w:hAnsi="Times New Roman"/>
          <w:vertAlign w:val="subscript"/>
        </w:rPr>
        <w:t>sat</w:t>
      </w:r>
      <w:proofErr w:type="spellEnd"/>
      <w:r w:rsidR="008A57D7">
        <w:rPr>
          <w:rFonts w:ascii="Times New Roman" w:hAnsi="Times New Roman"/>
        </w:rPr>
        <w:t xml:space="preserve"> </w:t>
      </w:r>
      <w:r w:rsidR="00187EFD" w:rsidRPr="00187EFD">
        <w:rPr>
          <w:rFonts w:ascii="Times New Roman" w:hAnsi="Times New Roman"/>
        </w:rPr>
        <w:t>(</w:t>
      </w:r>
      <w:r w:rsidR="008A57D7">
        <w:rPr>
          <w:rFonts w:ascii="Times New Roman" w:hAnsi="Times New Roman"/>
        </w:rPr>
        <w:t>d</w:t>
      </w:r>
      <w:r w:rsidR="008A57D7" w:rsidRPr="008A57D7">
        <w:rPr>
          <w:rFonts w:ascii="Times New Roman" w:hAnsi="Times New Roman"/>
          <w:i/>
          <w:iCs/>
        </w:rPr>
        <w:t>x</w:t>
      </w:r>
      <w:r w:rsidR="008A57D7">
        <w:rPr>
          <w:rFonts w:ascii="Times New Roman" w:hAnsi="Times New Roman"/>
        </w:rPr>
        <w:t xml:space="preserve">; </w:t>
      </w:r>
      <w:r w:rsidR="00187EFD" w:rsidRPr="00187EFD">
        <w:rPr>
          <w:rFonts w:ascii="Times New Roman" w:hAnsi="Times New Roman"/>
        </w:rPr>
        <w:t>e.g., 0.1 bar), and step size and tolerance for the Newton Raphson solver</w:t>
      </w:r>
      <w:r w:rsidR="003C2B11">
        <w:rPr>
          <w:rFonts w:ascii="Times New Roman" w:hAnsi="Times New Roman"/>
        </w:rPr>
        <w:t xml:space="preserve"> for calculating melt speciation</w:t>
      </w:r>
      <w:r w:rsidR="00187EFD" w:rsidRPr="00187EFD">
        <w:rPr>
          <w:rFonts w:ascii="Times New Roman" w:hAnsi="Times New Roman"/>
        </w:rPr>
        <w:t>.</w:t>
      </w:r>
    </w:p>
    <w:p w14:paraId="62AB8EC2" w14:textId="0FC1AE41" w:rsidR="00187EFD" w:rsidRPr="001930D3" w:rsidRDefault="00000713" w:rsidP="001930D3">
      <w:pPr>
        <w:pStyle w:val="ListParagraph"/>
        <w:numPr>
          <w:ilvl w:val="0"/>
          <w:numId w:val="17"/>
        </w:numPr>
        <w:jc w:val="both"/>
        <w:rPr>
          <w:rFonts w:ascii="Times New Roman" w:hAnsi="Times New Roman"/>
        </w:rPr>
      </w:pPr>
      <w:r>
        <w:rPr>
          <w:rFonts w:ascii="Times New Roman" w:hAnsi="Times New Roman"/>
        </w:rPr>
        <w:t>First, an in</w:t>
      </w:r>
      <w:r w:rsidR="003943E8">
        <w:rPr>
          <w:rFonts w:ascii="Times New Roman" w:hAnsi="Times New Roman"/>
        </w:rPr>
        <w:t>i</w:t>
      </w:r>
      <w:r>
        <w:rPr>
          <w:rFonts w:ascii="Times New Roman" w:hAnsi="Times New Roman"/>
        </w:rPr>
        <w:t xml:space="preserve">tial value for </w:t>
      </w:r>
      <w:r w:rsidR="001930D3" w:rsidRPr="001930D3">
        <w:rPr>
          <w:rFonts w:ascii="Times New Roman" w:hAnsi="Times New Roman"/>
          <w:i/>
          <w:iCs/>
        </w:rPr>
        <w:t>P</w:t>
      </w:r>
      <w:r w:rsidR="001930D3">
        <w:rPr>
          <w:rFonts w:ascii="Times New Roman" w:hAnsi="Times New Roman"/>
        </w:rPr>
        <w:t xml:space="preserve"> is assumed: </w:t>
      </w:r>
      <w:proofErr w:type="spellStart"/>
      <w:r w:rsidR="001930D3">
        <w:rPr>
          <w:rFonts w:ascii="Times New Roman" w:hAnsi="Times New Roman"/>
          <w:i/>
          <w:iCs/>
        </w:rPr>
        <w:t>P</w:t>
      </w:r>
      <w:r w:rsidR="001930D3">
        <w:rPr>
          <w:rFonts w:ascii="Times New Roman" w:hAnsi="Times New Roman"/>
          <w:i/>
          <w:iCs/>
          <w:vertAlign w:val="subscript"/>
        </w:rPr>
        <w:t>n</w:t>
      </w:r>
      <w:proofErr w:type="spellEnd"/>
      <w:r w:rsidR="001930D3">
        <w:rPr>
          <w:rFonts w:ascii="Times New Roman" w:hAnsi="Times New Roman"/>
        </w:rPr>
        <w:t xml:space="preserve"> refers to the assumed </w:t>
      </w:r>
      <w:r w:rsidR="001930D3">
        <w:rPr>
          <w:rFonts w:ascii="Times New Roman" w:hAnsi="Times New Roman"/>
          <w:i/>
          <w:iCs/>
        </w:rPr>
        <w:t>P</w:t>
      </w:r>
      <w:r w:rsidR="001930D3">
        <w:rPr>
          <w:rFonts w:ascii="Times New Roman" w:hAnsi="Times New Roman"/>
        </w:rPr>
        <w:t xml:space="preserve"> at guess </w:t>
      </w:r>
      <w:r w:rsidR="001930D3">
        <w:rPr>
          <w:rFonts w:ascii="Times New Roman" w:hAnsi="Times New Roman"/>
          <w:i/>
          <w:iCs/>
        </w:rPr>
        <w:t>n</w:t>
      </w:r>
      <w:r w:rsidR="001930D3">
        <w:rPr>
          <w:rFonts w:ascii="Times New Roman" w:hAnsi="Times New Roman"/>
        </w:rPr>
        <w:t>.</w:t>
      </w:r>
      <w:r w:rsidR="001930D3" w:rsidRPr="001930D3">
        <w:rPr>
          <w:rFonts w:ascii="Times New Roman" w:hAnsi="Times New Roman"/>
        </w:rPr>
        <w:t xml:space="preserve"> </w:t>
      </w:r>
      <w:r w:rsidR="00187EFD" w:rsidRPr="001930D3">
        <w:rPr>
          <w:rFonts w:ascii="Times New Roman" w:hAnsi="Times New Roman"/>
        </w:rPr>
        <w:t xml:space="preserve">The first </w:t>
      </w:r>
      <w:r w:rsidR="00187EFD" w:rsidRPr="001930D3">
        <w:rPr>
          <w:rFonts w:ascii="Times New Roman" w:hAnsi="Times New Roman"/>
          <w:i/>
          <w:iCs/>
        </w:rPr>
        <w:t>P</w:t>
      </w:r>
      <w:r w:rsidR="00187EFD" w:rsidRPr="001930D3">
        <w:rPr>
          <w:rFonts w:ascii="Times New Roman" w:hAnsi="Times New Roman"/>
        </w:rPr>
        <w:t xml:space="preserve"> (i.e., </w:t>
      </w:r>
      <w:r w:rsidR="00187EFD" w:rsidRPr="001930D3">
        <w:rPr>
          <w:rFonts w:ascii="Times New Roman" w:hAnsi="Times New Roman"/>
          <w:i/>
          <w:iCs/>
        </w:rPr>
        <w:t>P</w:t>
      </w:r>
      <w:r w:rsidR="00187EFD" w:rsidRPr="001930D3">
        <w:rPr>
          <w:rFonts w:ascii="Times New Roman" w:hAnsi="Times New Roman"/>
          <w:vertAlign w:val="subscript"/>
        </w:rPr>
        <w:t>0</w:t>
      </w:r>
      <w:r w:rsidR="00187EFD" w:rsidRPr="001930D3">
        <w:rPr>
          <w:rFonts w:ascii="Times New Roman" w:hAnsi="Times New Roman"/>
        </w:rPr>
        <w:t>)</w:t>
      </w:r>
      <w:r>
        <w:rPr>
          <w:rFonts w:ascii="Times New Roman" w:hAnsi="Times New Roman"/>
        </w:rPr>
        <w:t xml:space="preserve"> in all calculations described in the text</w:t>
      </w:r>
      <w:r w:rsidR="00187EFD" w:rsidRPr="001930D3">
        <w:rPr>
          <w:rFonts w:ascii="Times New Roman" w:hAnsi="Times New Roman"/>
        </w:rPr>
        <w:t xml:space="preserve"> is 40000 bars</w:t>
      </w:r>
      <w:r>
        <w:rPr>
          <w:rFonts w:ascii="Times New Roman" w:hAnsi="Times New Roman"/>
        </w:rPr>
        <w:t>, which helps</w:t>
      </w:r>
      <w:r w:rsidR="00187EFD" w:rsidRPr="001930D3">
        <w:rPr>
          <w:rFonts w:ascii="Times New Roman" w:hAnsi="Times New Roman"/>
        </w:rPr>
        <w:t xml:space="preserve"> to ensure convergence. </w:t>
      </w:r>
    </w:p>
    <w:p w14:paraId="34E621E2" w14:textId="004176FF" w:rsidR="00187EFD" w:rsidRDefault="00187EFD" w:rsidP="00187EFD">
      <w:pPr>
        <w:pStyle w:val="ListParagraph"/>
        <w:numPr>
          <w:ilvl w:val="0"/>
          <w:numId w:val="17"/>
        </w:numPr>
        <w:jc w:val="both"/>
        <w:rPr>
          <w:rFonts w:ascii="Times New Roman" w:hAnsi="Times New Roman"/>
        </w:rPr>
      </w:pPr>
      <w:r>
        <w:rPr>
          <w:rFonts w:ascii="Times New Roman" w:hAnsi="Times New Roman"/>
        </w:rPr>
        <w:t xml:space="preserve">The melt speciation is </w:t>
      </w:r>
      <w:r w:rsidR="00000713">
        <w:rPr>
          <w:rFonts w:ascii="Times New Roman" w:hAnsi="Times New Roman"/>
        </w:rPr>
        <w:t xml:space="preserve">then </w:t>
      </w:r>
      <w:r>
        <w:rPr>
          <w:rFonts w:ascii="Times New Roman" w:hAnsi="Times New Roman"/>
        </w:rPr>
        <w:t>calculated:</w:t>
      </w:r>
    </w:p>
    <w:p w14:paraId="664B50D8" w14:textId="1446AECF" w:rsidR="00911FDE" w:rsidRDefault="00000713" w:rsidP="00187EFD">
      <w:pPr>
        <w:pStyle w:val="ListParagraph"/>
        <w:numPr>
          <w:ilvl w:val="1"/>
          <w:numId w:val="17"/>
        </w:numPr>
        <w:jc w:val="both"/>
        <w:rPr>
          <w:rFonts w:ascii="Times New Roman" w:hAnsi="Times New Roman"/>
        </w:rPr>
      </w:pPr>
      <w:r>
        <w:rPr>
          <w:rFonts w:ascii="Times New Roman" w:hAnsi="Times New Roman"/>
        </w:rPr>
        <w:t>Initially</w:t>
      </w:r>
      <w:r w:rsidR="00187EFD">
        <w:rPr>
          <w:rFonts w:ascii="Times New Roman" w:hAnsi="Times New Roman"/>
        </w:rPr>
        <w:t>, all C is assumed to dissolve as CO</w:t>
      </w:r>
      <w:r w:rsidR="00187EFD" w:rsidRPr="00187EFD">
        <w:rPr>
          <w:rFonts w:ascii="Times New Roman" w:hAnsi="Times New Roman"/>
          <w:vertAlign w:val="subscript"/>
        </w:rPr>
        <w:t>3</w:t>
      </w:r>
      <w:r w:rsidR="00187EFD" w:rsidRPr="00187EFD">
        <w:rPr>
          <w:rFonts w:ascii="Times New Roman" w:hAnsi="Times New Roman"/>
          <w:vertAlign w:val="superscript"/>
        </w:rPr>
        <w:t>2-</w:t>
      </w:r>
      <w:r w:rsidR="00187EFD">
        <w:rPr>
          <w:rFonts w:ascii="Times New Roman" w:hAnsi="Times New Roman"/>
        </w:rPr>
        <w:t>, all H as H</w:t>
      </w:r>
      <w:r w:rsidR="00187EFD" w:rsidRPr="00187EFD">
        <w:rPr>
          <w:rFonts w:ascii="Times New Roman" w:hAnsi="Times New Roman"/>
          <w:vertAlign w:val="subscript"/>
        </w:rPr>
        <w:t>2</w:t>
      </w:r>
      <w:r w:rsidR="00187EFD">
        <w:rPr>
          <w:rFonts w:ascii="Times New Roman" w:hAnsi="Times New Roman"/>
        </w:rPr>
        <w:t>O</w:t>
      </w:r>
      <w:r w:rsidR="00187EFD" w:rsidRPr="00187EFD">
        <w:rPr>
          <w:rFonts w:ascii="Times New Roman" w:hAnsi="Times New Roman"/>
          <w:vertAlign w:val="subscript"/>
        </w:rPr>
        <w:t>T</w:t>
      </w:r>
      <w:r w:rsidR="00187EFD">
        <w:rPr>
          <w:rFonts w:ascii="Times New Roman" w:hAnsi="Times New Roman"/>
        </w:rPr>
        <w:t>, and all S as *S</w:t>
      </w:r>
      <w:r w:rsidR="00187EFD" w:rsidRPr="00187EFD">
        <w:rPr>
          <w:rFonts w:ascii="Times New Roman" w:hAnsi="Times New Roman"/>
          <w:vertAlign w:val="superscript"/>
        </w:rPr>
        <w:t>2-</w:t>
      </w:r>
      <w:r w:rsidR="00187EFD">
        <w:rPr>
          <w:rFonts w:ascii="Times New Roman" w:hAnsi="Times New Roman"/>
        </w:rPr>
        <w:t>.</w:t>
      </w:r>
      <w:r w:rsidR="00911FDE">
        <w:rPr>
          <w:rFonts w:ascii="Times New Roman" w:hAnsi="Times New Roman"/>
        </w:rPr>
        <w:t xml:space="preserve"> </w:t>
      </w:r>
    </w:p>
    <w:p w14:paraId="4F9147A2" w14:textId="76AD01B4" w:rsidR="00911FDE" w:rsidRDefault="00246D98" w:rsidP="00187EFD">
      <w:pPr>
        <w:pStyle w:val="ListParagraph"/>
        <w:numPr>
          <w:ilvl w:val="1"/>
          <w:numId w:val="17"/>
        </w:numPr>
        <w:jc w:val="both"/>
        <w:rPr>
          <w:rFonts w:ascii="Times New Roman" w:hAnsi="Times New Roman"/>
        </w:rPr>
      </w:pPr>
      <w:r>
        <w:rPr>
          <w:rFonts w:ascii="Times New Roman" w:hAnsi="Times New Roman"/>
        </w:rPr>
        <w:lastRenderedPageBreak/>
        <w:t>Solubilities</w:t>
      </w:r>
      <w:r w:rsidR="00911FDE">
        <w:rPr>
          <w:rFonts w:ascii="Times New Roman" w:hAnsi="Times New Roman"/>
        </w:rPr>
        <w:t xml:space="preserve">, equilibrium constants, and </w:t>
      </w:r>
      <w:r w:rsidR="00911FDE">
        <w:rPr>
          <w:rFonts w:ascii="Times New Roman" w:hAnsi="Times New Roman"/>
          <w:i/>
          <w:iCs/>
        </w:rPr>
        <w:t>f</w:t>
      </w:r>
      <w:r w:rsidR="00911FDE" w:rsidRPr="00911FDE">
        <w:rPr>
          <w:rFonts w:ascii="Times New Roman" w:hAnsi="Times New Roman"/>
          <w:vertAlign w:val="subscript"/>
        </w:rPr>
        <w:t>O2</w:t>
      </w:r>
      <w:r w:rsidR="00911FDE">
        <w:rPr>
          <w:rFonts w:ascii="Times New Roman" w:hAnsi="Times New Roman"/>
        </w:rPr>
        <w:t xml:space="preserve"> are calculated at the given </w:t>
      </w:r>
      <w:r w:rsidR="00911FDE">
        <w:rPr>
          <w:rFonts w:ascii="Times New Roman" w:hAnsi="Times New Roman"/>
          <w:i/>
          <w:iCs/>
        </w:rPr>
        <w:t>T</w:t>
      </w:r>
      <w:r w:rsidR="00911FDE">
        <w:rPr>
          <w:rFonts w:ascii="Times New Roman" w:hAnsi="Times New Roman"/>
        </w:rPr>
        <w:t xml:space="preserve">, </w:t>
      </w:r>
      <w:r w:rsidR="00911FDE">
        <w:rPr>
          <w:rFonts w:ascii="Times New Roman" w:hAnsi="Times New Roman"/>
          <w:i/>
          <w:iCs/>
        </w:rPr>
        <w:t>P</w:t>
      </w:r>
      <w:r w:rsidR="00911FDE">
        <w:rPr>
          <w:rFonts w:ascii="Times New Roman" w:hAnsi="Times New Roman"/>
        </w:rPr>
        <w:t>, and melt composition.</w:t>
      </w:r>
    </w:p>
    <w:p w14:paraId="01F38C1B" w14:textId="0A8C0406" w:rsidR="00187EFD" w:rsidRDefault="00911FDE" w:rsidP="00187EFD">
      <w:pPr>
        <w:pStyle w:val="ListParagraph"/>
        <w:numPr>
          <w:ilvl w:val="1"/>
          <w:numId w:val="17"/>
        </w:numPr>
        <w:jc w:val="both"/>
        <w:rPr>
          <w:rFonts w:ascii="Times New Roman" w:hAnsi="Times New Roman"/>
        </w:rPr>
      </w:pPr>
      <w:r>
        <w:rPr>
          <w:rFonts w:ascii="Times New Roman" w:hAnsi="Times New Roman"/>
        </w:rPr>
        <w:t>Using these</w:t>
      </w:r>
      <w:r w:rsidR="00246D98">
        <w:rPr>
          <w:rFonts w:ascii="Times New Roman" w:hAnsi="Times New Roman"/>
        </w:rPr>
        <w:t xml:space="preserve"> values</w:t>
      </w:r>
      <w:r>
        <w:rPr>
          <w:rFonts w:ascii="Times New Roman" w:hAnsi="Times New Roman"/>
        </w:rPr>
        <w:t xml:space="preserve">, </w:t>
      </w:r>
      <w:r w:rsidR="00AA64DF">
        <w:rPr>
          <w:rFonts w:ascii="Times New Roman" w:hAnsi="Times New Roman"/>
        </w:rPr>
        <w:t xml:space="preserve">the concentrations of </w:t>
      </w:r>
      <w:r>
        <w:rPr>
          <w:rFonts w:ascii="Times New Roman" w:hAnsi="Times New Roman"/>
        </w:rPr>
        <w:t>CO</w:t>
      </w:r>
      <w:r w:rsidRPr="00187EFD">
        <w:rPr>
          <w:rFonts w:ascii="Times New Roman" w:hAnsi="Times New Roman"/>
          <w:vertAlign w:val="subscript"/>
        </w:rPr>
        <w:t>3</w:t>
      </w:r>
      <w:r w:rsidRPr="00187EFD">
        <w:rPr>
          <w:rFonts w:ascii="Times New Roman" w:hAnsi="Times New Roman"/>
          <w:vertAlign w:val="superscript"/>
        </w:rPr>
        <w:t>2-</w:t>
      </w:r>
      <w:r>
        <w:rPr>
          <w:rFonts w:ascii="Times New Roman" w:hAnsi="Times New Roman"/>
        </w:rPr>
        <w:t>, H</w:t>
      </w:r>
      <w:r w:rsidRPr="00187EFD">
        <w:rPr>
          <w:rFonts w:ascii="Times New Roman" w:hAnsi="Times New Roman"/>
          <w:vertAlign w:val="subscript"/>
        </w:rPr>
        <w:t>2</w:t>
      </w:r>
      <w:r>
        <w:rPr>
          <w:rFonts w:ascii="Times New Roman" w:hAnsi="Times New Roman"/>
        </w:rPr>
        <w:t>O</w:t>
      </w:r>
      <w:r w:rsidRPr="00187EFD">
        <w:rPr>
          <w:rFonts w:ascii="Times New Roman" w:hAnsi="Times New Roman"/>
          <w:vertAlign w:val="subscript"/>
        </w:rPr>
        <w:t>T</w:t>
      </w:r>
      <w:r>
        <w:rPr>
          <w:rFonts w:ascii="Times New Roman" w:hAnsi="Times New Roman"/>
        </w:rPr>
        <w:t>,</w:t>
      </w:r>
      <w:r w:rsidR="00A8410B">
        <w:rPr>
          <w:rFonts w:ascii="Times New Roman" w:hAnsi="Times New Roman"/>
        </w:rPr>
        <w:t xml:space="preserve"> and</w:t>
      </w:r>
      <w:r>
        <w:rPr>
          <w:rFonts w:ascii="Times New Roman" w:hAnsi="Times New Roman"/>
        </w:rPr>
        <w:t xml:space="preserve"> *S</w:t>
      </w:r>
      <w:r w:rsidRPr="00187EFD">
        <w:rPr>
          <w:rFonts w:ascii="Times New Roman" w:hAnsi="Times New Roman"/>
          <w:vertAlign w:val="superscript"/>
        </w:rPr>
        <w:t>2-</w:t>
      </w:r>
      <w:r>
        <w:rPr>
          <w:rFonts w:ascii="Times New Roman" w:hAnsi="Times New Roman"/>
        </w:rPr>
        <w:t xml:space="preserve"> are used to calculate </w:t>
      </w:r>
      <w:r w:rsidRPr="00911FDE">
        <w:rPr>
          <w:rFonts w:ascii="Times New Roman" w:hAnsi="Times New Roman"/>
          <w:i/>
          <w:iCs/>
        </w:rPr>
        <w:t>f</w:t>
      </w:r>
      <w:r w:rsidRPr="00911FDE">
        <w:rPr>
          <w:rFonts w:ascii="Times New Roman" w:hAnsi="Times New Roman"/>
          <w:vertAlign w:val="subscript"/>
        </w:rPr>
        <w:t>CO2</w:t>
      </w:r>
      <w:r>
        <w:rPr>
          <w:rFonts w:ascii="Times New Roman" w:hAnsi="Times New Roman"/>
        </w:rPr>
        <w:t xml:space="preserve">, </w:t>
      </w:r>
      <w:r w:rsidRPr="00911FDE">
        <w:rPr>
          <w:rFonts w:ascii="Times New Roman" w:hAnsi="Times New Roman"/>
          <w:i/>
          <w:iCs/>
        </w:rPr>
        <w:t>f</w:t>
      </w:r>
      <w:r w:rsidRPr="00911FDE">
        <w:rPr>
          <w:rFonts w:ascii="Times New Roman" w:hAnsi="Times New Roman"/>
          <w:vertAlign w:val="subscript"/>
        </w:rPr>
        <w:t>H2O</w:t>
      </w:r>
      <w:r>
        <w:rPr>
          <w:rFonts w:ascii="Times New Roman" w:hAnsi="Times New Roman"/>
        </w:rPr>
        <w:t xml:space="preserve">, and </w:t>
      </w:r>
      <w:r w:rsidRPr="00911FDE">
        <w:rPr>
          <w:rFonts w:ascii="Times New Roman" w:hAnsi="Times New Roman"/>
          <w:i/>
          <w:iCs/>
        </w:rPr>
        <w:t>f</w:t>
      </w:r>
      <w:r w:rsidRPr="00911FDE">
        <w:rPr>
          <w:rFonts w:ascii="Times New Roman" w:hAnsi="Times New Roman"/>
          <w:vertAlign w:val="subscript"/>
        </w:rPr>
        <w:t>S2</w:t>
      </w:r>
      <w:r>
        <w:rPr>
          <w:rFonts w:ascii="Times New Roman" w:hAnsi="Times New Roman"/>
        </w:rPr>
        <w:t xml:space="preserve"> using equations (12, 14, </w:t>
      </w:r>
      <w:r w:rsidR="00246D98">
        <w:rPr>
          <w:rFonts w:ascii="Times New Roman" w:hAnsi="Times New Roman"/>
        </w:rPr>
        <w:t xml:space="preserve">and </w:t>
      </w:r>
      <w:r>
        <w:rPr>
          <w:rFonts w:ascii="Times New Roman" w:hAnsi="Times New Roman"/>
        </w:rPr>
        <w:t xml:space="preserve">16) </w:t>
      </w:r>
      <w:r w:rsidR="00246D98">
        <w:rPr>
          <w:rFonts w:ascii="Times New Roman" w:hAnsi="Times New Roman"/>
        </w:rPr>
        <w:t xml:space="preserve">given </w:t>
      </w:r>
      <w:r>
        <w:rPr>
          <w:rFonts w:ascii="Times New Roman" w:hAnsi="Times New Roman"/>
        </w:rPr>
        <w:t xml:space="preserve">in </w:t>
      </w:r>
      <w:r w:rsidR="003943E8">
        <w:rPr>
          <w:rFonts w:ascii="Times New Roman" w:hAnsi="Times New Roman"/>
        </w:rPr>
        <w:t xml:space="preserve">Table 2 of </w:t>
      </w:r>
      <w:r>
        <w:rPr>
          <w:rFonts w:ascii="Times New Roman" w:hAnsi="Times New Roman"/>
        </w:rPr>
        <w:t>the main text.</w:t>
      </w:r>
    </w:p>
    <w:p w14:paraId="5C779E5B" w14:textId="662753AB" w:rsidR="00911FDE" w:rsidRDefault="00246D98" w:rsidP="00187EFD">
      <w:pPr>
        <w:pStyle w:val="ListParagraph"/>
        <w:numPr>
          <w:ilvl w:val="1"/>
          <w:numId w:val="17"/>
        </w:numPr>
        <w:jc w:val="both"/>
        <w:rPr>
          <w:rFonts w:ascii="Times New Roman" w:hAnsi="Times New Roman"/>
        </w:rPr>
      </w:pPr>
      <w:r>
        <w:rPr>
          <w:rFonts w:ascii="Times New Roman" w:hAnsi="Times New Roman"/>
        </w:rPr>
        <w:t xml:space="preserve">The </w:t>
      </w:r>
      <w:proofErr w:type="spellStart"/>
      <w:r>
        <w:rPr>
          <w:rFonts w:ascii="Times New Roman" w:hAnsi="Times New Roman"/>
        </w:rPr>
        <w:t>fugacities</w:t>
      </w:r>
      <w:proofErr w:type="spellEnd"/>
      <w:r>
        <w:rPr>
          <w:rFonts w:ascii="Times New Roman" w:hAnsi="Times New Roman"/>
        </w:rPr>
        <w:t xml:space="preserve"> calculated in step 3c (i.e., </w:t>
      </w:r>
      <w:r w:rsidR="00AA64DF" w:rsidRPr="00911FDE">
        <w:rPr>
          <w:rFonts w:ascii="Times New Roman" w:hAnsi="Times New Roman"/>
          <w:i/>
          <w:iCs/>
        </w:rPr>
        <w:t>f</w:t>
      </w:r>
      <w:r w:rsidR="00AA64DF" w:rsidRPr="00911FDE">
        <w:rPr>
          <w:rFonts w:ascii="Times New Roman" w:hAnsi="Times New Roman"/>
          <w:vertAlign w:val="subscript"/>
        </w:rPr>
        <w:t>CO2</w:t>
      </w:r>
      <w:r w:rsidR="00AA64DF">
        <w:rPr>
          <w:rFonts w:ascii="Times New Roman" w:hAnsi="Times New Roman"/>
        </w:rPr>
        <w:t xml:space="preserve">, </w:t>
      </w:r>
      <w:r w:rsidR="00AA64DF" w:rsidRPr="00911FDE">
        <w:rPr>
          <w:rFonts w:ascii="Times New Roman" w:hAnsi="Times New Roman"/>
          <w:i/>
          <w:iCs/>
        </w:rPr>
        <w:t>f</w:t>
      </w:r>
      <w:r w:rsidR="00AA64DF" w:rsidRPr="00911FDE">
        <w:rPr>
          <w:rFonts w:ascii="Times New Roman" w:hAnsi="Times New Roman"/>
          <w:vertAlign w:val="subscript"/>
        </w:rPr>
        <w:t>H2O</w:t>
      </w:r>
      <w:r w:rsidR="00AA64DF">
        <w:rPr>
          <w:rFonts w:ascii="Times New Roman" w:hAnsi="Times New Roman"/>
        </w:rPr>
        <w:t xml:space="preserve">, </w:t>
      </w:r>
      <w:r w:rsidR="00AA64DF" w:rsidRPr="00911FDE">
        <w:rPr>
          <w:rFonts w:ascii="Times New Roman" w:hAnsi="Times New Roman"/>
          <w:i/>
          <w:iCs/>
        </w:rPr>
        <w:t>f</w:t>
      </w:r>
      <w:r w:rsidR="00AA64DF" w:rsidRPr="00911FDE">
        <w:rPr>
          <w:rFonts w:ascii="Times New Roman" w:hAnsi="Times New Roman"/>
          <w:vertAlign w:val="subscript"/>
        </w:rPr>
        <w:t>S2</w:t>
      </w:r>
      <w:r>
        <w:rPr>
          <w:rFonts w:ascii="Times New Roman" w:hAnsi="Times New Roman"/>
        </w:rPr>
        <w:t>)</w:t>
      </w:r>
      <w:r w:rsidR="00AA64DF">
        <w:rPr>
          <w:rFonts w:ascii="Times New Roman" w:hAnsi="Times New Roman"/>
        </w:rPr>
        <w:t xml:space="preserve"> and</w:t>
      </w:r>
      <w:r>
        <w:rPr>
          <w:rFonts w:ascii="Times New Roman" w:hAnsi="Times New Roman"/>
        </w:rPr>
        <w:t xml:space="preserve"> a value for</w:t>
      </w:r>
      <w:r w:rsidR="00AA64DF">
        <w:rPr>
          <w:rFonts w:ascii="Times New Roman" w:hAnsi="Times New Roman"/>
        </w:rPr>
        <w:t xml:space="preserve"> </w:t>
      </w:r>
      <w:r w:rsidR="00AA64DF">
        <w:rPr>
          <w:rFonts w:ascii="Times New Roman" w:hAnsi="Times New Roman"/>
          <w:i/>
          <w:iCs/>
        </w:rPr>
        <w:t>f</w:t>
      </w:r>
      <w:r w:rsidR="00AA64DF" w:rsidRPr="00AA64DF">
        <w:rPr>
          <w:rFonts w:ascii="Times New Roman" w:hAnsi="Times New Roman"/>
          <w:vertAlign w:val="subscript"/>
        </w:rPr>
        <w:t>O2</w:t>
      </w:r>
      <w:r w:rsidR="00AA64DF">
        <w:rPr>
          <w:rFonts w:ascii="Times New Roman" w:hAnsi="Times New Roman"/>
        </w:rPr>
        <w:t xml:space="preserve"> </w:t>
      </w:r>
      <w:r>
        <w:rPr>
          <w:rFonts w:ascii="Times New Roman" w:hAnsi="Times New Roman"/>
        </w:rPr>
        <w:t>(either specific relative to FMQ or based on measured Fe</w:t>
      </w:r>
      <w:r w:rsidRPr="00246D98">
        <w:rPr>
          <w:rFonts w:ascii="Times New Roman" w:hAnsi="Times New Roman"/>
          <w:vertAlign w:val="superscript"/>
        </w:rPr>
        <w:t>3+</w:t>
      </w:r>
      <w:r>
        <w:rPr>
          <w:rFonts w:ascii="Times New Roman" w:hAnsi="Times New Roman"/>
        </w:rPr>
        <w:t>/</w:t>
      </w:r>
      <w:proofErr w:type="spellStart"/>
      <w:r>
        <w:rPr>
          <w:rFonts w:ascii="Times New Roman" w:hAnsi="Times New Roman"/>
        </w:rPr>
        <w:t>Fe</w:t>
      </w:r>
      <w:r w:rsidRPr="00246D98">
        <w:rPr>
          <w:rFonts w:ascii="Times New Roman" w:hAnsi="Times New Roman"/>
          <w:vertAlign w:val="subscript"/>
        </w:rPr>
        <w:t>T</w:t>
      </w:r>
      <w:proofErr w:type="spellEnd"/>
      <w:r>
        <w:rPr>
          <w:rFonts w:ascii="Times New Roman" w:hAnsi="Times New Roman"/>
        </w:rPr>
        <w:t xml:space="preserve"> for natural glasses) </w:t>
      </w:r>
      <w:r w:rsidR="00AA64DF">
        <w:rPr>
          <w:rFonts w:ascii="Times New Roman" w:hAnsi="Times New Roman"/>
        </w:rPr>
        <w:t xml:space="preserve">are used to calculate </w:t>
      </w:r>
      <w:proofErr w:type="spellStart"/>
      <w:r w:rsidR="00AA64DF" w:rsidRPr="00911FDE">
        <w:rPr>
          <w:rFonts w:ascii="Times New Roman" w:hAnsi="Times New Roman"/>
          <w:i/>
          <w:iCs/>
        </w:rPr>
        <w:t>f</w:t>
      </w:r>
      <w:r w:rsidR="00AA64DF" w:rsidRPr="00911FDE">
        <w:rPr>
          <w:rFonts w:ascii="Times New Roman" w:hAnsi="Times New Roman"/>
          <w:vertAlign w:val="subscript"/>
        </w:rPr>
        <w:t>CO</w:t>
      </w:r>
      <w:proofErr w:type="spellEnd"/>
      <w:r w:rsidR="00AA64DF">
        <w:rPr>
          <w:rFonts w:ascii="Times New Roman" w:hAnsi="Times New Roman"/>
        </w:rPr>
        <w:t xml:space="preserve">, </w:t>
      </w:r>
      <w:r w:rsidR="00AA64DF" w:rsidRPr="00911FDE">
        <w:rPr>
          <w:rFonts w:ascii="Times New Roman" w:hAnsi="Times New Roman"/>
          <w:i/>
          <w:iCs/>
        </w:rPr>
        <w:t>f</w:t>
      </w:r>
      <w:r w:rsidR="00AA64DF" w:rsidRPr="00911FDE">
        <w:rPr>
          <w:rFonts w:ascii="Times New Roman" w:hAnsi="Times New Roman"/>
          <w:vertAlign w:val="subscript"/>
        </w:rPr>
        <w:t>H2</w:t>
      </w:r>
      <w:r w:rsidR="00AA64DF">
        <w:rPr>
          <w:rFonts w:ascii="Times New Roman" w:hAnsi="Times New Roman"/>
        </w:rPr>
        <w:t xml:space="preserve">, </w:t>
      </w:r>
      <w:r w:rsidR="00AA64DF" w:rsidRPr="00911FDE">
        <w:rPr>
          <w:rFonts w:ascii="Times New Roman" w:hAnsi="Times New Roman"/>
          <w:i/>
          <w:iCs/>
        </w:rPr>
        <w:t>f</w:t>
      </w:r>
      <w:r w:rsidR="00AA64DF">
        <w:rPr>
          <w:rFonts w:ascii="Times New Roman" w:hAnsi="Times New Roman"/>
          <w:vertAlign w:val="subscript"/>
        </w:rPr>
        <w:t>CH4</w:t>
      </w:r>
      <w:r w:rsidR="00AA64DF">
        <w:rPr>
          <w:rFonts w:ascii="Times New Roman" w:hAnsi="Times New Roman"/>
        </w:rPr>
        <w:t xml:space="preserve">, and </w:t>
      </w:r>
      <w:r w:rsidR="00AA64DF" w:rsidRPr="00AA64DF">
        <w:rPr>
          <w:rFonts w:ascii="Times New Roman" w:hAnsi="Times New Roman"/>
          <w:i/>
          <w:iCs/>
        </w:rPr>
        <w:t>f</w:t>
      </w:r>
      <w:r w:rsidR="00AA64DF" w:rsidRPr="00AA64DF">
        <w:rPr>
          <w:rFonts w:ascii="Times New Roman" w:hAnsi="Times New Roman"/>
          <w:vertAlign w:val="subscript"/>
        </w:rPr>
        <w:t>H2S</w:t>
      </w:r>
      <w:r w:rsidR="00AA64DF">
        <w:rPr>
          <w:rFonts w:ascii="Times New Roman" w:hAnsi="Times New Roman"/>
        </w:rPr>
        <w:t xml:space="preserve"> using equations (5, 6, 8, 9) in</w:t>
      </w:r>
      <w:r w:rsidR="003943E8">
        <w:rPr>
          <w:rFonts w:ascii="Times New Roman" w:hAnsi="Times New Roman"/>
        </w:rPr>
        <w:t xml:space="preserve"> Table 1 of</w:t>
      </w:r>
      <w:r w:rsidR="00AA64DF">
        <w:rPr>
          <w:rFonts w:ascii="Times New Roman" w:hAnsi="Times New Roman"/>
        </w:rPr>
        <w:t xml:space="preserve"> the main text.</w:t>
      </w:r>
    </w:p>
    <w:p w14:paraId="0D285975" w14:textId="0DC1BBF0" w:rsidR="00AA64DF" w:rsidRDefault="00AA64DF" w:rsidP="00187EFD">
      <w:pPr>
        <w:pStyle w:val="ListParagraph"/>
        <w:numPr>
          <w:ilvl w:val="1"/>
          <w:numId w:val="17"/>
        </w:numPr>
        <w:jc w:val="both"/>
        <w:rPr>
          <w:rFonts w:ascii="Times New Roman" w:hAnsi="Times New Roman"/>
        </w:rPr>
      </w:pPr>
      <w:r>
        <w:rPr>
          <w:rFonts w:ascii="Times New Roman" w:hAnsi="Times New Roman"/>
        </w:rPr>
        <w:t xml:space="preserve">From the </w:t>
      </w:r>
      <w:proofErr w:type="spellStart"/>
      <w:r>
        <w:rPr>
          <w:rFonts w:ascii="Times New Roman" w:hAnsi="Times New Roman"/>
        </w:rPr>
        <w:t>fugacities</w:t>
      </w:r>
      <w:proofErr w:type="spellEnd"/>
      <w:r w:rsidR="00246D98">
        <w:rPr>
          <w:rFonts w:ascii="Times New Roman" w:hAnsi="Times New Roman"/>
        </w:rPr>
        <w:t xml:space="preserve"> obtained in step 3c and d</w:t>
      </w:r>
      <w:r>
        <w:rPr>
          <w:rFonts w:ascii="Times New Roman" w:hAnsi="Times New Roman"/>
        </w:rPr>
        <w:t>, the concentrations of H</w:t>
      </w:r>
      <w:proofErr w:type="gramStart"/>
      <w:r w:rsidRPr="00AA64DF">
        <w:rPr>
          <w:rFonts w:ascii="Times New Roman" w:hAnsi="Times New Roman"/>
          <w:vertAlign w:val="subscript"/>
        </w:rPr>
        <w:t>2,mol</w:t>
      </w:r>
      <w:proofErr w:type="gramEnd"/>
      <w:r>
        <w:rPr>
          <w:rFonts w:ascii="Times New Roman" w:hAnsi="Times New Roman"/>
        </w:rPr>
        <w:t xml:space="preserve">, </w:t>
      </w:r>
      <w:proofErr w:type="spellStart"/>
      <w:r>
        <w:rPr>
          <w:rFonts w:ascii="Times New Roman" w:hAnsi="Times New Roman"/>
        </w:rPr>
        <w:t>CO</w:t>
      </w:r>
      <w:r w:rsidRPr="00AA64DF">
        <w:rPr>
          <w:rFonts w:ascii="Times New Roman" w:hAnsi="Times New Roman"/>
          <w:vertAlign w:val="subscript"/>
        </w:rPr>
        <w:t>mol</w:t>
      </w:r>
      <w:proofErr w:type="spellEnd"/>
      <w:r>
        <w:rPr>
          <w:rFonts w:ascii="Times New Roman" w:hAnsi="Times New Roman"/>
        </w:rPr>
        <w:t>, CH</w:t>
      </w:r>
      <w:r w:rsidRPr="00AA64DF">
        <w:rPr>
          <w:rFonts w:ascii="Times New Roman" w:hAnsi="Times New Roman"/>
          <w:vertAlign w:val="subscript"/>
        </w:rPr>
        <w:t>4,mol</w:t>
      </w:r>
      <w:r>
        <w:rPr>
          <w:rFonts w:ascii="Times New Roman" w:hAnsi="Times New Roman"/>
        </w:rPr>
        <w:t>, SO</w:t>
      </w:r>
      <w:r w:rsidRPr="00AA64DF">
        <w:rPr>
          <w:rFonts w:ascii="Times New Roman" w:hAnsi="Times New Roman"/>
          <w:vertAlign w:val="subscript"/>
        </w:rPr>
        <w:t>4</w:t>
      </w:r>
      <w:r w:rsidRPr="00AA64DF">
        <w:rPr>
          <w:rFonts w:ascii="Times New Roman" w:hAnsi="Times New Roman"/>
          <w:vertAlign w:val="superscript"/>
        </w:rPr>
        <w:t>2-</w:t>
      </w:r>
      <w:r>
        <w:rPr>
          <w:rFonts w:ascii="Times New Roman" w:hAnsi="Times New Roman"/>
        </w:rPr>
        <w:t>, and H</w:t>
      </w:r>
      <w:r w:rsidRPr="00AA64DF">
        <w:rPr>
          <w:rFonts w:ascii="Times New Roman" w:hAnsi="Times New Roman"/>
          <w:vertAlign w:val="subscript"/>
        </w:rPr>
        <w:t>2</w:t>
      </w:r>
      <w:r>
        <w:rPr>
          <w:rFonts w:ascii="Times New Roman" w:hAnsi="Times New Roman"/>
        </w:rPr>
        <w:t>S</w:t>
      </w:r>
      <w:r w:rsidRPr="00AA64DF">
        <w:rPr>
          <w:rFonts w:ascii="Times New Roman" w:hAnsi="Times New Roman"/>
          <w:vertAlign w:val="subscript"/>
        </w:rPr>
        <w:t>mol</w:t>
      </w:r>
      <w:r>
        <w:rPr>
          <w:rFonts w:ascii="Times New Roman" w:hAnsi="Times New Roman"/>
        </w:rPr>
        <w:t xml:space="preserve"> </w:t>
      </w:r>
      <w:r w:rsidR="00246D98">
        <w:rPr>
          <w:rFonts w:ascii="Times New Roman" w:hAnsi="Times New Roman"/>
        </w:rPr>
        <w:t xml:space="preserve">in the melt </w:t>
      </w:r>
      <w:r>
        <w:rPr>
          <w:rFonts w:ascii="Times New Roman" w:hAnsi="Times New Roman"/>
        </w:rPr>
        <w:t xml:space="preserve">are </w:t>
      </w:r>
      <w:r w:rsidR="00246D98">
        <w:rPr>
          <w:rFonts w:ascii="Times New Roman" w:hAnsi="Times New Roman"/>
        </w:rPr>
        <w:t xml:space="preserve">then </w:t>
      </w:r>
      <w:r>
        <w:rPr>
          <w:rFonts w:ascii="Times New Roman" w:hAnsi="Times New Roman"/>
        </w:rPr>
        <w:t xml:space="preserve">calculated using equations (11, 13, 14, 17, </w:t>
      </w:r>
      <w:r w:rsidR="00246D98">
        <w:rPr>
          <w:rFonts w:ascii="Times New Roman" w:hAnsi="Times New Roman"/>
        </w:rPr>
        <w:t xml:space="preserve">and </w:t>
      </w:r>
      <w:r>
        <w:rPr>
          <w:rFonts w:ascii="Times New Roman" w:hAnsi="Times New Roman"/>
        </w:rPr>
        <w:t xml:space="preserve">18) in </w:t>
      </w:r>
      <w:r w:rsidR="003943E8">
        <w:rPr>
          <w:rFonts w:ascii="Times New Roman" w:hAnsi="Times New Roman"/>
        </w:rPr>
        <w:t xml:space="preserve">Table 3 of </w:t>
      </w:r>
      <w:r>
        <w:rPr>
          <w:rFonts w:ascii="Times New Roman" w:hAnsi="Times New Roman"/>
        </w:rPr>
        <w:t>the main text.</w:t>
      </w:r>
    </w:p>
    <w:p w14:paraId="369FC04F" w14:textId="5D7431C0" w:rsidR="006B115B" w:rsidRDefault="00FB6F4B" w:rsidP="00FB6F4B">
      <w:pPr>
        <w:pStyle w:val="ListParagraph"/>
        <w:numPr>
          <w:ilvl w:val="1"/>
          <w:numId w:val="17"/>
        </w:numPr>
        <w:jc w:val="both"/>
        <w:rPr>
          <w:rFonts w:ascii="Times New Roman" w:hAnsi="Times New Roman"/>
        </w:rPr>
      </w:pPr>
      <w:r>
        <w:rPr>
          <w:rFonts w:ascii="Times New Roman" w:hAnsi="Times New Roman"/>
        </w:rPr>
        <w:t>There are three mass balance equations across all volatile species</w:t>
      </w:r>
      <w:r w:rsidR="00246D98">
        <w:rPr>
          <w:rFonts w:ascii="Times New Roman" w:hAnsi="Times New Roman"/>
        </w:rPr>
        <w:t xml:space="preserve"> dissolved</w:t>
      </w:r>
      <w:r>
        <w:rPr>
          <w:rFonts w:ascii="Times New Roman" w:hAnsi="Times New Roman"/>
        </w:rPr>
        <w:t xml:space="preserve"> in the melt: </w:t>
      </w:r>
      <w:r w:rsidR="00246D98">
        <w:rPr>
          <w:rFonts w:ascii="Times New Roman" w:hAnsi="Times New Roman"/>
        </w:rPr>
        <w:t xml:space="preserve">one each for </w:t>
      </w:r>
      <w:r>
        <w:rPr>
          <w:rFonts w:ascii="Times New Roman" w:hAnsi="Times New Roman"/>
        </w:rPr>
        <w:t>C, H, and S</w:t>
      </w:r>
      <w:r w:rsidR="005645BF">
        <w:rPr>
          <w:rFonts w:ascii="Times New Roman" w:hAnsi="Times New Roman"/>
        </w:rPr>
        <w:t xml:space="preserve"> (</w:t>
      </w:r>
      <w:r w:rsidR="00246D98">
        <w:rPr>
          <w:rFonts w:ascii="Times New Roman" w:hAnsi="Times New Roman"/>
        </w:rPr>
        <w:t xml:space="preserve">note that </w:t>
      </w:r>
      <w:r w:rsidR="005645BF">
        <w:rPr>
          <w:rFonts w:ascii="Times New Roman" w:hAnsi="Times New Roman"/>
        </w:rPr>
        <w:t xml:space="preserve">O is not mass balanced </w:t>
      </w:r>
      <w:r w:rsidR="00246D98">
        <w:rPr>
          <w:rFonts w:ascii="Times New Roman" w:hAnsi="Times New Roman"/>
        </w:rPr>
        <w:t xml:space="preserve">because </w:t>
      </w:r>
      <w:r w:rsidR="005645BF">
        <w:rPr>
          <w:rFonts w:ascii="Times New Roman" w:hAnsi="Times New Roman"/>
          <w:i/>
          <w:iCs/>
        </w:rPr>
        <w:t>f</w:t>
      </w:r>
      <w:r w:rsidR="005645BF" w:rsidRPr="005645BF">
        <w:rPr>
          <w:rFonts w:ascii="Times New Roman" w:hAnsi="Times New Roman"/>
          <w:vertAlign w:val="subscript"/>
        </w:rPr>
        <w:t>O2</w:t>
      </w:r>
      <w:r w:rsidR="005645BF">
        <w:rPr>
          <w:rFonts w:ascii="Times New Roman" w:hAnsi="Times New Roman"/>
        </w:rPr>
        <w:t xml:space="preserve"> is a</w:t>
      </w:r>
      <w:r w:rsidR="00246D98">
        <w:rPr>
          <w:rFonts w:ascii="Times New Roman" w:hAnsi="Times New Roman"/>
        </w:rPr>
        <w:t>n independent</w:t>
      </w:r>
      <w:r w:rsidR="005645BF">
        <w:rPr>
          <w:rFonts w:ascii="Times New Roman" w:hAnsi="Times New Roman"/>
        </w:rPr>
        <w:t xml:space="preserve"> variable)</w:t>
      </w:r>
      <w:r>
        <w:rPr>
          <w:rFonts w:ascii="Times New Roman" w:hAnsi="Times New Roman"/>
        </w:rPr>
        <w:t xml:space="preserve">. The total </w:t>
      </w:r>
      <w:r w:rsidR="00246D98">
        <w:rPr>
          <w:rFonts w:ascii="Times New Roman" w:hAnsi="Times New Roman"/>
        </w:rPr>
        <w:t xml:space="preserve">dissolved </w:t>
      </w:r>
      <w:r>
        <w:rPr>
          <w:rFonts w:ascii="Times New Roman" w:hAnsi="Times New Roman"/>
        </w:rPr>
        <w:t>C, H, and S</w:t>
      </w:r>
      <w:r w:rsidR="00246D98">
        <w:rPr>
          <w:rFonts w:ascii="Times New Roman" w:hAnsi="Times New Roman"/>
        </w:rPr>
        <w:t xml:space="preserve"> content of the melt are then </w:t>
      </w:r>
      <w:r w:rsidR="00CB334A">
        <w:rPr>
          <w:rFonts w:ascii="Times New Roman" w:hAnsi="Times New Roman"/>
        </w:rPr>
        <w:t>determine</w:t>
      </w:r>
      <w:r w:rsidR="00F4448F">
        <w:rPr>
          <w:rFonts w:ascii="Times New Roman" w:hAnsi="Times New Roman"/>
        </w:rPr>
        <w:t>d</w:t>
      </w:r>
      <w:r w:rsidR="00CB334A">
        <w:rPr>
          <w:rFonts w:ascii="Times New Roman" w:hAnsi="Times New Roman"/>
        </w:rPr>
        <w:t xml:space="preserve"> </w:t>
      </w:r>
      <w:r w:rsidR="00246D98">
        <w:rPr>
          <w:rFonts w:ascii="Times New Roman" w:hAnsi="Times New Roman"/>
        </w:rPr>
        <w:t xml:space="preserve">from the </w:t>
      </w:r>
      <w:r>
        <w:rPr>
          <w:rFonts w:ascii="Times New Roman" w:hAnsi="Times New Roman"/>
        </w:rPr>
        <w:t>concentrations of CO</w:t>
      </w:r>
      <w:r w:rsidRPr="00187EFD">
        <w:rPr>
          <w:rFonts w:ascii="Times New Roman" w:hAnsi="Times New Roman"/>
          <w:vertAlign w:val="subscript"/>
        </w:rPr>
        <w:t>3</w:t>
      </w:r>
      <w:r w:rsidRPr="00187EFD">
        <w:rPr>
          <w:rFonts w:ascii="Times New Roman" w:hAnsi="Times New Roman"/>
          <w:vertAlign w:val="superscript"/>
        </w:rPr>
        <w:t>2-</w:t>
      </w:r>
      <w:r>
        <w:rPr>
          <w:rFonts w:ascii="Times New Roman" w:hAnsi="Times New Roman"/>
        </w:rPr>
        <w:t>, H</w:t>
      </w:r>
      <w:r w:rsidRPr="00187EFD">
        <w:rPr>
          <w:rFonts w:ascii="Times New Roman" w:hAnsi="Times New Roman"/>
          <w:vertAlign w:val="subscript"/>
        </w:rPr>
        <w:t>2</w:t>
      </w:r>
      <w:r>
        <w:rPr>
          <w:rFonts w:ascii="Times New Roman" w:hAnsi="Times New Roman"/>
        </w:rPr>
        <w:t>O</w:t>
      </w:r>
      <w:r w:rsidRPr="00187EFD">
        <w:rPr>
          <w:rFonts w:ascii="Times New Roman" w:hAnsi="Times New Roman"/>
          <w:vertAlign w:val="subscript"/>
        </w:rPr>
        <w:t>T</w:t>
      </w:r>
      <w:r>
        <w:rPr>
          <w:rFonts w:ascii="Times New Roman" w:hAnsi="Times New Roman"/>
        </w:rPr>
        <w:t>, *S</w:t>
      </w:r>
      <w:r w:rsidRPr="00187EFD">
        <w:rPr>
          <w:rFonts w:ascii="Times New Roman" w:hAnsi="Times New Roman"/>
          <w:vertAlign w:val="superscript"/>
        </w:rPr>
        <w:t>2-</w:t>
      </w:r>
      <w:r>
        <w:rPr>
          <w:rFonts w:ascii="Times New Roman" w:hAnsi="Times New Roman"/>
        </w:rPr>
        <w:t>, H</w:t>
      </w:r>
      <w:proofErr w:type="gramStart"/>
      <w:r w:rsidRPr="00AA64DF">
        <w:rPr>
          <w:rFonts w:ascii="Times New Roman" w:hAnsi="Times New Roman"/>
          <w:vertAlign w:val="subscript"/>
        </w:rPr>
        <w:t>2,mol</w:t>
      </w:r>
      <w:proofErr w:type="gramEnd"/>
      <w:r>
        <w:rPr>
          <w:rFonts w:ascii="Times New Roman" w:hAnsi="Times New Roman"/>
        </w:rPr>
        <w:t xml:space="preserve">, </w:t>
      </w:r>
      <w:proofErr w:type="spellStart"/>
      <w:r>
        <w:rPr>
          <w:rFonts w:ascii="Times New Roman" w:hAnsi="Times New Roman"/>
        </w:rPr>
        <w:t>CO</w:t>
      </w:r>
      <w:r w:rsidRPr="00AA64DF">
        <w:rPr>
          <w:rFonts w:ascii="Times New Roman" w:hAnsi="Times New Roman"/>
          <w:vertAlign w:val="subscript"/>
        </w:rPr>
        <w:t>mol</w:t>
      </w:r>
      <w:proofErr w:type="spellEnd"/>
      <w:r>
        <w:rPr>
          <w:rFonts w:ascii="Times New Roman" w:hAnsi="Times New Roman"/>
        </w:rPr>
        <w:t>, CH</w:t>
      </w:r>
      <w:r w:rsidRPr="00AA64DF">
        <w:rPr>
          <w:rFonts w:ascii="Times New Roman" w:hAnsi="Times New Roman"/>
          <w:vertAlign w:val="subscript"/>
        </w:rPr>
        <w:t>4,mol</w:t>
      </w:r>
      <w:r>
        <w:rPr>
          <w:rFonts w:ascii="Times New Roman" w:hAnsi="Times New Roman"/>
        </w:rPr>
        <w:t>, SO</w:t>
      </w:r>
      <w:r w:rsidRPr="00AA64DF">
        <w:rPr>
          <w:rFonts w:ascii="Times New Roman" w:hAnsi="Times New Roman"/>
          <w:vertAlign w:val="subscript"/>
        </w:rPr>
        <w:t>4</w:t>
      </w:r>
      <w:r w:rsidRPr="00AA64DF">
        <w:rPr>
          <w:rFonts w:ascii="Times New Roman" w:hAnsi="Times New Roman"/>
          <w:vertAlign w:val="superscript"/>
        </w:rPr>
        <w:t>2-</w:t>
      </w:r>
      <w:r>
        <w:rPr>
          <w:rFonts w:ascii="Times New Roman" w:hAnsi="Times New Roman"/>
        </w:rPr>
        <w:t>, and H</w:t>
      </w:r>
      <w:r w:rsidRPr="00AA64DF">
        <w:rPr>
          <w:rFonts w:ascii="Times New Roman" w:hAnsi="Times New Roman"/>
          <w:vertAlign w:val="subscript"/>
        </w:rPr>
        <w:t>2</w:t>
      </w:r>
      <w:r>
        <w:rPr>
          <w:rFonts w:ascii="Times New Roman" w:hAnsi="Times New Roman"/>
        </w:rPr>
        <w:t>S</w:t>
      </w:r>
      <w:r w:rsidRPr="00AA64DF">
        <w:rPr>
          <w:rFonts w:ascii="Times New Roman" w:hAnsi="Times New Roman"/>
          <w:vertAlign w:val="subscript"/>
        </w:rPr>
        <w:t>mol</w:t>
      </w:r>
      <w:r>
        <w:rPr>
          <w:rFonts w:ascii="Times New Roman" w:hAnsi="Times New Roman"/>
        </w:rPr>
        <w:t xml:space="preserve"> </w:t>
      </w:r>
      <w:r w:rsidR="00CB334A">
        <w:rPr>
          <w:rFonts w:ascii="Times New Roman" w:hAnsi="Times New Roman"/>
        </w:rPr>
        <w:t>in the melt</w:t>
      </w:r>
      <w:r>
        <w:rPr>
          <w:rFonts w:ascii="Times New Roman" w:hAnsi="Times New Roman"/>
        </w:rPr>
        <w:t xml:space="preserve">. The difference between </w:t>
      </w:r>
      <w:r w:rsidR="00CB334A">
        <w:rPr>
          <w:rFonts w:ascii="Times New Roman" w:hAnsi="Times New Roman"/>
        </w:rPr>
        <w:t xml:space="preserve">these sums of C, H, and S </w:t>
      </w:r>
      <w:r>
        <w:rPr>
          <w:rFonts w:ascii="Times New Roman" w:hAnsi="Times New Roman"/>
        </w:rPr>
        <w:t>and the known total C, H, and S</w:t>
      </w:r>
      <w:r w:rsidR="00CB334A">
        <w:rPr>
          <w:rFonts w:ascii="Times New Roman" w:hAnsi="Times New Roman"/>
        </w:rPr>
        <w:t xml:space="preserve"> of the melt</w:t>
      </w:r>
      <w:r>
        <w:rPr>
          <w:rFonts w:ascii="Times New Roman" w:hAnsi="Times New Roman"/>
        </w:rPr>
        <w:t xml:space="preserve"> </w:t>
      </w:r>
      <w:r w:rsidR="00CB334A">
        <w:rPr>
          <w:rFonts w:ascii="Times New Roman" w:hAnsi="Times New Roman"/>
        </w:rPr>
        <w:t xml:space="preserve">are then </w:t>
      </w:r>
      <w:r>
        <w:rPr>
          <w:rFonts w:ascii="Times New Roman" w:hAnsi="Times New Roman"/>
        </w:rPr>
        <w:t>calculated</w:t>
      </w:r>
      <w:r w:rsidR="006B115B">
        <w:rPr>
          <w:rFonts w:ascii="Times New Roman" w:hAnsi="Times New Roman"/>
        </w:rPr>
        <w:t xml:space="preserve">. </w:t>
      </w:r>
    </w:p>
    <w:p w14:paraId="20F6374B" w14:textId="156CF7A4" w:rsidR="00FB6F4B" w:rsidRDefault="006B115B" w:rsidP="00FB6F4B">
      <w:pPr>
        <w:pStyle w:val="ListParagraph"/>
        <w:numPr>
          <w:ilvl w:val="1"/>
          <w:numId w:val="17"/>
        </w:numPr>
        <w:jc w:val="both"/>
        <w:rPr>
          <w:rFonts w:ascii="Times New Roman" w:hAnsi="Times New Roman"/>
        </w:rPr>
      </w:pPr>
      <w:r>
        <w:rPr>
          <w:rFonts w:ascii="Times New Roman" w:hAnsi="Times New Roman"/>
        </w:rPr>
        <w:t>The value of the differentials of each of the mass balance equations with respect to C, H, and S i</w:t>
      </w:r>
      <w:r w:rsidR="00A8410B">
        <w:rPr>
          <w:rFonts w:ascii="Times New Roman" w:hAnsi="Times New Roman"/>
        </w:rPr>
        <w:t>s</w:t>
      </w:r>
      <w:r>
        <w:rPr>
          <w:rFonts w:ascii="Times New Roman" w:hAnsi="Times New Roman"/>
        </w:rPr>
        <w:t xml:space="preserve"> calculated (nine values in total).</w:t>
      </w:r>
    </w:p>
    <w:p w14:paraId="684A7B5D" w14:textId="1B1291DA" w:rsidR="006B115B" w:rsidRDefault="006B115B" w:rsidP="00FB6F4B">
      <w:pPr>
        <w:pStyle w:val="ListParagraph"/>
        <w:numPr>
          <w:ilvl w:val="1"/>
          <w:numId w:val="17"/>
        </w:numPr>
        <w:jc w:val="both"/>
        <w:rPr>
          <w:rFonts w:ascii="Times New Roman" w:hAnsi="Times New Roman"/>
        </w:rPr>
      </w:pPr>
      <w:r>
        <w:rPr>
          <w:rFonts w:ascii="Times New Roman" w:hAnsi="Times New Roman"/>
        </w:rPr>
        <w:t>A Newton Raphson method is used to converge on concentrations of CO</w:t>
      </w:r>
      <w:r w:rsidRPr="00187EFD">
        <w:rPr>
          <w:rFonts w:ascii="Times New Roman" w:hAnsi="Times New Roman"/>
          <w:vertAlign w:val="subscript"/>
        </w:rPr>
        <w:t>3</w:t>
      </w:r>
      <w:r w:rsidRPr="00187EFD">
        <w:rPr>
          <w:rFonts w:ascii="Times New Roman" w:hAnsi="Times New Roman"/>
          <w:vertAlign w:val="superscript"/>
        </w:rPr>
        <w:t>2-</w:t>
      </w:r>
      <w:r>
        <w:rPr>
          <w:rFonts w:ascii="Times New Roman" w:hAnsi="Times New Roman"/>
        </w:rPr>
        <w:t>, H</w:t>
      </w:r>
      <w:r w:rsidRPr="00187EFD">
        <w:rPr>
          <w:rFonts w:ascii="Times New Roman" w:hAnsi="Times New Roman"/>
          <w:vertAlign w:val="subscript"/>
        </w:rPr>
        <w:t>2</w:t>
      </w:r>
      <w:r>
        <w:rPr>
          <w:rFonts w:ascii="Times New Roman" w:hAnsi="Times New Roman"/>
        </w:rPr>
        <w:t>O</w:t>
      </w:r>
      <w:r w:rsidRPr="00187EFD">
        <w:rPr>
          <w:rFonts w:ascii="Times New Roman" w:hAnsi="Times New Roman"/>
          <w:vertAlign w:val="subscript"/>
        </w:rPr>
        <w:t>T</w:t>
      </w:r>
      <w:r>
        <w:rPr>
          <w:rFonts w:ascii="Times New Roman" w:hAnsi="Times New Roman"/>
        </w:rPr>
        <w:t>, and *S</w:t>
      </w:r>
      <w:r w:rsidRPr="00187EFD">
        <w:rPr>
          <w:rFonts w:ascii="Times New Roman" w:hAnsi="Times New Roman"/>
          <w:vertAlign w:val="superscript"/>
        </w:rPr>
        <w:t>2-</w:t>
      </w:r>
      <w:r>
        <w:rPr>
          <w:rFonts w:ascii="Times New Roman" w:hAnsi="Times New Roman"/>
        </w:rPr>
        <w:t xml:space="preserve"> that satisfy the mass balance</w:t>
      </w:r>
      <w:r w:rsidR="00A8410B">
        <w:rPr>
          <w:rFonts w:ascii="Times New Roman" w:hAnsi="Times New Roman"/>
        </w:rPr>
        <w:t xml:space="preserve"> equations</w:t>
      </w:r>
      <w:r>
        <w:rPr>
          <w:rFonts w:ascii="Times New Roman" w:hAnsi="Times New Roman"/>
        </w:rPr>
        <w:t xml:space="preserve"> by repeating </w:t>
      </w:r>
      <w:r w:rsidR="00336EFB">
        <w:rPr>
          <w:rFonts w:ascii="Times New Roman" w:hAnsi="Times New Roman"/>
        </w:rPr>
        <w:t>3c–g.</w:t>
      </w:r>
    </w:p>
    <w:p w14:paraId="1AC4B985" w14:textId="6DFDCF86" w:rsidR="00336EFB" w:rsidRDefault="00336EFB" w:rsidP="00336EFB">
      <w:pPr>
        <w:pStyle w:val="ListParagraph"/>
        <w:numPr>
          <w:ilvl w:val="0"/>
          <w:numId w:val="17"/>
        </w:numPr>
        <w:jc w:val="both"/>
        <w:rPr>
          <w:rFonts w:ascii="Times New Roman" w:hAnsi="Times New Roman"/>
        </w:rPr>
      </w:pPr>
      <w:r>
        <w:rPr>
          <w:rFonts w:ascii="Times New Roman" w:hAnsi="Times New Roman"/>
        </w:rPr>
        <w:t xml:space="preserve">Next, </w:t>
      </w:r>
      <w:proofErr w:type="spellStart"/>
      <w:r>
        <w:rPr>
          <w:rFonts w:ascii="Times New Roman" w:hAnsi="Times New Roman"/>
          <w:i/>
          <w:iCs/>
        </w:rPr>
        <w:t>P</w:t>
      </w:r>
      <w:r w:rsidRPr="00336EFB">
        <w:rPr>
          <w:rFonts w:ascii="Times New Roman" w:hAnsi="Times New Roman"/>
          <w:i/>
          <w:iCs/>
          <w:vertAlign w:val="superscript"/>
        </w:rPr>
        <w:t>v</w:t>
      </w:r>
      <w:r w:rsidRPr="00336EFB">
        <w:rPr>
          <w:rFonts w:ascii="Times New Roman" w:hAnsi="Times New Roman"/>
          <w:vertAlign w:val="subscript"/>
        </w:rPr>
        <w:t>sat</w:t>
      </w:r>
      <w:proofErr w:type="spellEnd"/>
      <w:r>
        <w:rPr>
          <w:rFonts w:ascii="Times New Roman" w:hAnsi="Times New Roman"/>
        </w:rPr>
        <w:t xml:space="preserve"> is calculated:</w:t>
      </w:r>
    </w:p>
    <w:p w14:paraId="2962C6F9" w14:textId="77777777" w:rsidR="00336EFB" w:rsidRDefault="00336EFB" w:rsidP="00336EFB">
      <w:pPr>
        <w:pStyle w:val="ListParagraph"/>
        <w:numPr>
          <w:ilvl w:val="1"/>
          <w:numId w:val="17"/>
        </w:numPr>
        <w:jc w:val="both"/>
        <w:rPr>
          <w:rFonts w:ascii="Times New Roman" w:hAnsi="Times New Roman"/>
        </w:rPr>
      </w:pPr>
      <w:r>
        <w:rPr>
          <w:rFonts w:ascii="Times New Roman" w:hAnsi="Times New Roman"/>
        </w:rPr>
        <w:t xml:space="preserve">The calculated melt speciation is used to calculate </w:t>
      </w:r>
      <w:r w:rsidRPr="00911FDE">
        <w:rPr>
          <w:rFonts w:ascii="Times New Roman" w:hAnsi="Times New Roman"/>
          <w:i/>
          <w:iCs/>
        </w:rPr>
        <w:t>f</w:t>
      </w:r>
      <w:r w:rsidRPr="00911FDE">
        <w:rPr>
          <w:rFonts w:ascii="Times New Roman" w:hAnsi="Times New Roman"/>
          <w:vertAlign w:val="subscript"/>
        </w:rPr>
        <w:t>CO2</w:t>
      </w:r>
      <w:r>
        <w:rPr>
          <w:rFonts w:ascii="Times New Roman" w:hAnsi="Times New Roman"/>
        </w:rPr>
        <w:t xml:space="preserve">, </w:t>
      </w:r>
      <w:r w:rsidRPr="00911FDE">
        <w:rPr>
          <w:rFonts w:ascii="Times New Roman" w:hAnsi="Times New Roman"/>
          <w:i/>
          <w:iCs/>
        </w:rPr>
        <w:t>f</w:t>
      </w:r>
      <w:r w:rsidRPr="00911FDE">
        <w:rPr>
          <w:rFonts w:ascii="Times New Roman" w:hAnsi="Times New Roman"/>
          <w:vertAlign w:val="subscript"/>
        </w:rPr>
        <w:t>H2O</w:t>
      </w:r>
      <w:r>
        <w:rPr>
          <w:rFonts w:ascii="Times New Roman" w:hAnsi="Times New Roman"/>
        </w:rPr>
        <w:t xml:space="preserve">, </w:t>
      </w:r>
      <w:r w:rsidRPr="00911FDE">
        <w:rPr>
          <w:rFonts w:ascii="Times New Roman" w:hAnsi="Times New Roman"/>
          <w:i/>
          <w:iCs/>
        </w:rPr>
        <w:t>f</w:t>
      </w:r>
      <w:r w:rsidRPr="00911FDE">
        <w:rPr>
          <w:rFonts w:ascii="Times New Roman" w:hAnsi="Times New Roman"/>
          <w:vertAlign w:val="subscript"/>
        </w:rPr>
        <w:t>S2</w:t>
      </w:r>
      <w:r>
        <w:rPr>
          <w:rFonts w:ascii="Times New Roman" w:hAnsi="Times New Roman"/>
        </w:rPr>
        <w:t xml:space="preserve">, </w:t>
      </w:r>
      <w:proofErr w:type="spellStart"/>
      <w:r w:rsidRPr="00911FDE">
        <w:rPr>
          <w:rFonts w:ascii="Times New Roman" w:hAnsi="Times New Roman"/>
          <w:i/>
          <w:iCs/>
        </w:rPr>
        <w:t>f</w:t>
      </w:r>
      <w:r w:rsidRPr="00911FDE">
        <w:rPr>
          <w:rFonts w:ascii="Times New Roman" w:hAnsi="Times New Roman"/>
          <w:vertAlign w:val="subscript"/>
        </w:rPr>
        <w:t>CO</w:t>
      </w:r>
      <w:proofErr w:type="spellEnd"/>
      <w:r>
        <w:rPr>
          <w:rFonts w:ascii="Times New Roman" w:hAnsi="Times New Roman"/>
        </w:rPr>
        <w:t xml:space="preserve">, </w:t>
      </w:r>
      <w:r w:rsidRPr="00911FDE">
        <w:rPr>
          <w:rFonts w:ascii="Times New Roman" w:hAnsi="Times New Roman"/>
          <w:i/>
          <w:iCs/>
        </w:rPr>
        <w:t>f</w:t>
      </w:r>
      <w:r w:rsidRPr="00911FDE">
        <w:rPr>
          <w:rFonts w:ascii="Times New Roman" w:hAnsi="Times New Roman"/>
          <w:vertAlign w:val="subscript"/>
        </w:rPr>
        <w:t>H2</w:t>
      </w:r>
      <w:r>
        <w:rPr>
          <w:rFonts w:ascii="Times New Roman" w:hAnsi="Times New Roman"/>
        </w:rPr>
        <w:t xml:space="preserve">, </w:t>
      </w:r>
      <w:r w:rsidRPr="00911FDE">
        <w:rPr>
          <w:rFonts w:ascii="Times New Roman" w:hAnsi="Times New Roman"/>
          <w:i/>
          <w:iCs/>
        </w:rPr>
        <w:t>f</w:t>
      </w:r>
      <w:r>
        <w:rPr>
          <w:rFonts w:ascii="Times New Roman" w:hAnsi="Times New Roman"/>
          <w:vertAlign w:val="subscript"/>
        </w:rPr>
        <w:t>CH4</w:t>
      </w:r>
      <w:r>
        <w:rPr>
          <w:rFonts w:ascii="Times New Roman" w:hAnsi="Times New Roman"/>
        </w:rPr>
        <w:t xml:space="preserve">, and </w:t>
      </w:r>
      <w:r w:rsidRPr="00AA64DF">
        <w:rPr>
          <w:rFonts w:ascii="Times New Roman" w:hAnsi="Times New Roman"/>
          <w:i/>
          <w:iCs/>
        </w:rPr>
        <w:t>f</w:t>
      </w:r>
      <w:r w:rsidRPr="00AA64DF">
        <w:rPr>
          <w:rFonts w:ascii="Times New Roman" w:hAnsi="Times New Roman"/>
          <w:vertAlign w:val="subscript"/>
        </w:rPr>
        <w:t>H2S</w:t>
      </w:r>
      <w:r>
        <w:rPr>
          <w:rFonts w:ascii="Times New Roman" w:hAnsi="Times New Roman"/>
        </w:rPr>
        <w:t xml:space="preserve"> as described in 3c–d.</w:t>
      </w:r>
    </w:p>
    <w:p w14:paraId="3D0F26D7" w14:textId="16F02BF3" w:rsidR="00336EFB" w:rsidRDefault="00336EFB" w:rsidP="00336EFB">
      <w:pPr>
        <w:pStyle w:val="ListParagraph"/>
        <w:numPr>
          <w:ilvl w:val="1"/>
          <w:numId w:val="17"/>
        </w:numPr>
        <w:jc w:val="both"/>
        <w:rPr>
          <w:rFonts w:ascii="Times New Roman" w:hAnsi="Times New Roman"/>
        </w:rPr>
      </w:pPr>
      <w:r w:rsidRPr="00911FDE">
        <w:rPr>
          <w:rFonts w:ascii="Times New Roman" w:hAnsi="Times New Roman"/>
          <w:i/>
          <w:iCs/>
        </w:rPr>
        <w:t>f</w:t>
      </w:r>
      <w:r>
        <w:rPr>
          <w:rFonts w:ascii="Times New Roman" w:hAnsi="Times New Roman"/>
          <w:vertAlign w:val="subscript"/>
        </w:rPr>
        <w:t>O2</w:t>
      </w:r>
      <w:r w:rsidRPr="00336EFB">
        <w:rPr>
          <w:rFonts w:ascii="Times New Roman" w:hAnsi="Times New Roman"/>
        </w:rPr>
        <w:t xml:space="preserve"> and</w:t>
      </w:r>
      <w:r>
        <w:rPr>
          <w:rFonts w:ascii="Times New Roman" w:hAnsi="Times New Roman"/>
        </w:rPr>
        <w:t xml:space="preserve"> </w:t>
      </w:r>
      <w:r w:rsidRPr="00911FDE">
        <w:rPr>
          <w:rFonts w:ascii="Times New Roman" w:hAnsi="Times New Roman"/>
          <w:i/>
          <w:iCs/>
        </w:rPr>
        <w:t>f</w:t>
      </w:r>
      <w:r w:rsidRPr="00911FDE">
        <w:rPr>
          <w:rFonts w:ascii="Times New Roman" w:hAnsi="Times New Roman"/>
          <w:vertAlign w:val="subscript"/>
        </w:rPr>
        <w:t>S2</w:t>
      </w:r>
      <w:r>
        <w:rPr>
          <w:rFonts w:ascii="Times New Roman" w:hAnsi="Times New Roman"/>
        </w:rPr>
        <w:t xml:space="preserve"> are used to calculate </w:t>
      </w:r>
      <w:r w:rsidRPr="00911FDE">
        <w:rPr>
          <w:rFonts w:ascii="Times New Roman" w:hAnsi="Times New Roman"/>
          <w:i/>
          <w:iCs/>
        </w:rPr>
        <w:t>f</w:t>
      </w:r>
      <w:r>
        <w:rPr>
          <w:rFonts w:ascii="Times New Roman" w:hAnsi="Times New Roman"/>
          <w:vertAlign w:val="subscript"/>
        </w:rPr>
        <w:t>S</w:t>
      </w:r>
      <w:r w:rsidRPr="00911FDE">
        <w:rPr>
          <w:rFonts w:ascii="Times New Roman" w:hAnsi="Times New Roman"/>
          <w:vertAlign w:val="subscript"/>
        </w:rPr>
        <w:t>O</w:t>
      </w:r>
      <w:r>
        <w:rPr>
          <w:rFonts w:ascii="Times New Roman" w:hAnsi="Times New Roman"/>
          <w:vertAlign w:val="subscript"/>
        </w:rPr>
        <w:t>2</w:t>
      </w:r>
      <w:r>
        <w:rPr>
          <w:rFonts w:ascii="Times New Roman" w:hAnsi="Times New Roman"/>
        </w:rPr>
        <w:t xml:space="preserve"> using equation (</w:t>
      </w:r>
      <w:r w:rsidR="001930D3">
        <w:rPr>
          <w:rFonts w:ascii="Times New Roman" w:hAnsi="Times New Roman"/>
        </w:rPr>
        <w:t>7) in</w:t>
      </w:r>
      <w:r w:rsidR="003943E8">
        <w:rPr>
          <w:rFonts w:ascii="Times New Roman" w:hAnsi="Times New Roman"/>
        </w:rPr>
        <w:t xml:space="preserve"> Table 1 of</w:t>
      </w:r>
      <w:r w:rsidR="001930D3">
        <w:rPr>
          <w:rFonts w:ascii="Times New Roman" w:hAnsi="Times New Roman"/>
        </w:rPr>
        <w:t xml:space="preserve"> the main text, then </w:t>
      </w:r>
      <w:r w:rsidR="001930D3" w:rsidRPr="00911FDE">
        <w:rPr>
          <w:rFonts w:ascii="Times New Roman" w:hAnsi="Times New Roman"/>
          <w:i/>
          <w:iCs/>
        </w:rPr>
        <w:t>f</w:t>
      </w:r>
      <w:r w:rsidR="001930D3">
        <w:rPr>
          <w:rFonts w:ascii="Times New Roman" w:hAnsi="Times New Roman"/>
          <w:vertAlign w:val="subscript"/>
        </w:rPr>
        <w:t>S</w:t>
      </w:r>
      <w:r w:rsidR="001930D3" w:rsidRPr="00911FDE">
        <w:rPr>
          <w:rFonts w:ascii="Times New Roman" w:hAnsi="Times New Roman"/>
          <w:vertAlign w:val="subscript"/>
        </w:rPr>
        <w:t>O</w:t>
      </w:r>
      <w:r w:rsidR="001930D3">
        <w:rPr>
          <w:rFonts w:ascii="Times New Roman" w:hAnsi="Times New Roman"/>
          <w:vertAlign w:val="subscript"/>
        </w:rPr>
        <w:t>2</w:t>
      </w:r>
      <w:r w:rsidR="001930D3">
        <w:rPr>
          <w:rFonts w:ascii="Times New Roman" w:hAnsi="Times New Roman"/>
        </w:rPr>
        <w:t xml:space="preserve">, </w:t>
      </w:r>
      <w:r w:rsidR="001930D3" w:rsidRPr="00911FDE">
        <w:rPr>
          <w:rFonts w:ascii="Times New Roman" w:hAnsi="Times New Roman"/>
          <w:i/>
          <w:iCs/>
        </w:rPr>
        <w:t>f</w:t>
      </w:r>
      <w:r w:rsidR="001930D3" w:rsidRPr="00911FDE">
        <w:rPr>
          <w:rFonts w:ascii="Times New Roman" w:hAnsi="Times New Roman"/>
          <w:vertAlign w:val="subscript"/>
        </w:rPr>
        <w:t>CO2</w:t>
      </w:r>
      <w:r w:rsidR="001930D3">
        <w:rPr>
          <w:rFonts w:ascii="Times New Roman" w:hAnsi="Times New Roman"/>
        </w:rPr>
        <w:t xml:space="preserve">, </w:t>
      </w:r>
      <w:r w:rsidR="00A8410B">
        <w:rPr>
          <w:rFonts w:ascii="Times New Roman" w:hAnsi="Times New Roman"/>
        </w:rPr>
        <w:t xml:space="preserve">and </w:t>
      </w:r>
      <w:proofErr w:type="spellStart"/>
      <w:r w:rsidR="001930D3" w:rsidRPr="00911FDE">
        <w:rPr>
          <w:rFonts w:ascii="Times New Roman" w:hAnsi="Times New Roman"/>
          <w:i/>
          <w:iCs/>
        </w:rPr>
        <w:t>f</w:t>
      </w:r>
      <w:r w:rsidR="001930D3" w:rsidRPr="00911FDE">
        <w:rPr>
          <w:rFonts w:ascii="Times New Roman" w:hAnsi="Times New Roman"/>
          <w:vertAlign w:val="subscript"/>
        </w:rPr>
        <w:t>CO</w:t>
      </w:r>
      <w:proofErr w:type="spellEnd"/>
      <w:r w:rsidR="001930D3">
        <w:rPr>
          <w:rFonts w:ascii="Times New Roman" w:hAnsi="Times New Roman"/>
        </w:rPr>
        <w:t xml:space="preserve"> are used to calculate </w:t>
      </w:r>
      <w:proofErr w:type="spellStart"/>
      <w:r w:rsidR="001930D3" w:rsidRPr="00911FDE">
        <w:rPr>
          <w:rFonts w:ascii="Times New Roman" w:hAnsi="Times New Roman"/>
          <w:i/>
          <w:iCs/>
        </w:rPr>
        <w:t>f</w:t>
      </w:r>
      <w:r w:rsidR="001930D3">
        <w:rPr>
          <w:rFonts w:ascii="Times New Roman" w:hAnsi="Times New Roman"/>
          <w:vertAlign w:val="subscript"/>
        </w:rPr>
        <w:t>OCS</w:t>
      </w:r>
      <w:proofErr w:type="spellEnd"/>
      <w:r w:rsidR="001930D3" w:rsidRPr="001930D3">
        <w:rPr>
          <w:rFonts w:ascii="Times New Roman" w:hAnsi="Times New Roman"/>
        </w:rPr>
        <w:t xml:space="preserve"> using</w:t>
      </w:r>
      <w:r w:rsidR="001930D3">
        <w:rPr>
          <w:rFonts w:ascii="Times New Roman" w:hAnsi="Times New Roman"/>
        </w:rPr>
        <w:t xml:space="preserve"> equation (10) in</w:t>
      </w:r>
      <w:r w:rsidR="003943E8">
        <w:rPr>
          <w:rFonts w:ascii="Times New Roman" w:hAnsi="Times New Roman"/>
        </w:rPr>
        <w:t xml:space="preserve"> Table 1 of</w:t>
      </w:r>
      <w:r w:rsidR="001930D3">
        <w:rPr>
          <w:rFonts w:ascii="Times New Roman" w:hAnsi="Times New Roman"/>
        </w:rPr>
        <w:t xml:space="preserve"> the main text.</w:t>
      </w:r>
    </w:p>
    <w:p w14:paraId="4B1763DB" w14:textId="06CA60DD" w:rsidR="001930D3" w:rsidRDefault="00A8410B" w:rsidP="00336EFB">
      <w:pPr>
        <w:pStyle w:val="ListParagraph"/>
        <w:numPr>
          <w:ilvl w:val="1"/>
          <w:numId w:val="17"/>
        </w:numPr>
        <w:jc w:val="both"/>
        <w:rPr>
          <w:rFonts w:ascii="Times New Roman" w:hAnsi="Times New Roman"/>
        </w:rPr>
      </w:pPr>
      <w:r>
        <w:rPr>
          <w:rFonts w:ascii="Times New Roman" w:hAnsi="Times New Roman"/>
        </w:rPr>
        <w:t>All these</w:t>
      </w:r>
      <w:r w:rsidR="001930D3">
        <w:rPr>
          <w:rFonts w:ascii="Times New Roman" w:hAnsi="Times New Roman"/>
        </w:rPr>
        <w:t xml:space="preserve"> </w:t>
      </w:r>
      <w:proofErr w:type="spellStart"/>
      <w:r w:rsidR="001930D3">
        <w:rPr>
          <w:rFonts w:ascii="Times New Roman" w:hAnsi="Times New Roman"/>
        </w:rPr>
        <w:t>fugacities</w:t>
      </w:r>
      <w:proofErr w:type="spellEnd"/>
      <w:r w:rsidR="001930D3">
        <w:rPr>
          <w:rFonts w:ascii="Times New Roman" w:hAnsi="Times New Roman"/>
        </w:rPr>
        <w:t xml:space="preserve"> are converted to partial pressures using equation (2) in the main text.</w:t>
      </w:r>
    </w:p>
    <w:p w14:paraId="24D9D725" w14:textId="5E13A73F" w:rsidR="001930D3" w:rsidRDefault="001930D3" w:rsidP="00336EFB">
      <w:pPr>
        <w:pStyle w:val="ListParagraph"/>
        <w:numPr>
          <w:ilvl w:val="1"/>
          <w:numId w:val="17"/>
        </w:numPr>
        <w:jc w:val="both"/>
        <w:rPr>
          <w:rFonts w:ascii="Times New Roman" w:hAnsi="Times New Roman"/>
        </w:rPr>
      </w:pPr>
      <w:proofErr w:type="spellStart"/>
      <w:r>
        <w:rPr>
          <w:rFonts w:ascii="Times New Roman" w:hAnsi="Times New Roman"/>
          <w:i/>
          <w:iCs/>
        </w:rPr>
        <w:t>P</w:t>
      </w:r>
      <w:r w:rsidRPr="001930D3">
        <w:rPr>
          <w:rFonts w:ascii="Times New Roman" w:hAnsi="Times New Roman"/>
          <w:i/>
          <w:iCs/>
          <w:vertAlign w:val="superscript"/>
        </w:rPr>
        <w:t>v</w:t>
      </w:r>
      <w:r w:rsidRPr="001930D3">
        <w:rPr>
          <w:rFonts w:ascii="Times New Roman" w:hAnsi="Times New Roman"/>
          <w:vertAlign w:val="subscript"/>
        </w:rPr>
        <w:t>sat</w:t>
      </w:r>
      <w:proofErr w:type="spellEnd"/>
      <w:r>
        <w:rPr>
          <w:rFonts w:ascii="Times New Roman" w:hAnsi="Times New Roman"/>
        </w:rPr>
        <w:t xml:space="preserve"> </w:t>
      </w:r>
      <w:r w:rsidR="00A8410B">
        <w:rPr>
          <w:rFonts w:ascii="Times New Roman" w:hAnsi="Times New Roman"/>
        </w:rPr>
        <w:t xml:space="preserve">is </w:t>
      </w:r>
      <w:r>
        <w:rPr>
          <w:rFonts w:ascii="Times New Roman" w:hAnsi="Times New Roman"/>
        </w:rPr>
        <w:t>calculated</w:t>
      </w:r>
      <w:r w:rsidR="00CB334A">
        <w:rPr>
          <w:rFonts w:ascii="Times New Roman" w:hAnsi="Times New Roman"/>
        </w:rPr>
        <w:t xml:space="preserve"> by summing all the </w:t>
      </w:r>
      <w:r w:rsidR="00CB334A">
        <w:rPr>
          <w:rFonts w:ascii="Times New Roman" w:hAnsi="Times New Roman"/>
          <w:i/>
          <w:iCs/>
        </w:rPr>
        <w:t>p</w:t>
      </w:r>
      <w:r w:rsidR="00CB334A" w:rsidRPr="00CB334A">
        <w:rPr>
          <w:rFonts w:ascii="Times New Roman" w:hAnsi="Times New Roman"/>
          <w:i/>
          <w:iCs/>
          <w:vertAlign w:val="subscript"/>
        </w:rPr>
        <w:t>i</w:t>
      </w:r>
      <w:r w:rsidR="00CB334A">
        <w:rPr>
          <w:rFonts w:ascii="Times New Roman" w:hAnsi="Times New Roman"/>
        </w:rPr>
        <w:t>’s</w:t>
      </w:r>
      <w:r>
        <w:rPr>
          <w:rFonts w:ascii="Times New Roman" w:hAnsi="Times New Roman"/>
        </w:rPr>
        <w:t xml:space="preserve"> </w:t>
      </w:r>
      <w:r w:rsidR="00CB334A">
        <w:rPr>
          <w:rFonts w:ascii="Times New Roman" w:hAnsi="Times New Roman"/>
        </w:rPr>
        <w:t xml:space="preserve">(i.e., </w:t>
      </w:r>
      <w:r>
        <w:rPr>
          <w:rFonts w:ascii="Times New Roman" w:hAnsi="Times New Roman"/>
        </w:rPr>
        <w:t>using equation (4) in the main text</w:t>
      </w:r>
      <w:r w:rsidR="00CB334A">
        <w:rPr>
          <w:rFonts w:ascii="Times New Roman" w:hAnsi="Times New Roman"/>
        </w:rPr>
        <w:t>)</w:t>
      </w:r>
      <w:r>
        <w:rPr>
          <w:rFonts w:ascii="Times New Roman" w:hAnsi="Times New Roman"/>
        </w:rPr>
        <w:t>.</w:t>
      </w:r>
    </w:p>
    <w:p w14:paraId="301072E1" w14:textId="2585835D" w:rsidR="001930D3" w:rsidRDefault="00CB334A" w:rsidP="00336EFB">
      <w:pPr>
        <w:pStyle w:val="ListParagraph"/>
        <w:numPr>
          <w:ilvl w:val="1"/>
          <w:numId w:val="17"/>
        </w:numPr>
        <w:jc w:val="both"/>
        <w:rPr>
          <w:rFonts w:ascii="Times New Roman" w:hAnsi="Times New Roman"/>
        </w:rPr>
      </w:pPr>
      <w:r>
        <w:rPr>
          <w:rFonts w:ascii="Times New Roman" w:hAnsi="Times New Roman"/>
        </w:rPr>
        <w:t xml:space="preserve">Convergence of this iterative calculation is achieved when </w:t>
      </w:r>
      <w:r w:rsidR="001930D3">
        <w:rPr>
          <w:rFonts w:ascii="Times New Roman" w:hAnsi="Times New Roman"/>
        </w:rPr>
        <w:t>d</w:t>
      </w:r>
      <w:r w:rsidR="001930D3">
        <w:rPr>
          <w:rFonts w:ascii="Times New Roman" w:hAnsi="Times New Roman"/>
          <w:i/>
          <w:iCs/>
        </w:rPr>
        <w:t>x</w:t>
      </w:r>
      <w:r w:rsidR="001930D3">
        <w:rPr>
          <w:rFonts w:ascii="Times New Roman" w:hAnsi="Times New Roman"/>
        </w:rPr>
        <w:t xml:space="preserve"> = </w:t>
      </w:r>
      <w:proofErr w:type="spellStart"/>
      <w:r w:rsidR="001930D3">
        <w:rPr>
          <w:rFonts w:ascii="Times New Roman" w:hAnsi="Times New Roman"/>
          <w:i/>
          <w:iCs/>
        </w:rPr>
        <w:t>P</w:t>
      </w:r>
      <w:r w:rsidR="001930D3">
        <w:rPr>
          <w:rFonts w:ascii="Times New Roman" w:hAnsi="Times New Roman"/>
          <w:i/>
          <w:iCs/>
          <w:vertAlign w:val="subscript"/>
        </w:rPr>
        <w:t>n</w:t>
      </w:r>
      <w:proofErr w:type="spellEnd"/>
      <w:r w:rsidR="001930D3">
        <w:rPr>
          <w:rFonts w:ascii="Times New Roman" w:hAnsi="Times New Roman"/>
        </w:rPr>
        <w:t xml:space="preserve"> – </w:t>
      </w:r>
      <w:proofErr w:type="spellStart"/>
      <w:proofErr w:type="gramStart"/>
      <w:r w:rsidR="001930D3">
        <w:rPr>
          <w:rFonts w:ascii="Times New Roman" w:hAnsi="Times New Roman"/>
          <w:i/>
          <w:iCs/>
        </w:rPr>
        <w:t>P</w:t>
      </w:r>
      <w:r w:rsidR="001930D3" w:rsidRPr="001930D3">
        <w:rPr>
          <w:rFonts w:ascii="Times New Roman" w:hAnsi="Times New Roman"/>
          <w:i/>
          <w:iCs/>
          <w:vertAlign w:val="superscript"/>
        </w:rPr>
        <w:t>v</w:t>
      </w:r>
      <w:r w:rsidR="001930D3" w:rsidRPr="001930D3">
        <w:rPr>
          <w:rFonts w:ascii="Times New Roman" w:hAnsi="Times New Roman"/>
          <w:vertAlign w:val="subscript"/>
        </w:rPr>
        <w:t>sat</w:t>
      </w:r>
      <w:proofErr w:type="spellEnd"/>
      <w:r w:rsidR="001930D3" w:rsidRPr="001930D3">
        <w:rPr>
          <w:rFonts w:ascii="Times New Roman" w:hAnsi="Times New Roman"/>
        </w:rPr>
        <w:t>(</w:t>
      </w:r>
      <w:proofErr w:type="spellStart"/>
      <w:proofErr w:type="gramEnd"/>
      <w:r w:rsidR="001930D3">
        <w:rPr>
          <w:rFonts w:ascii="Times New Roman" w:hAnsi="Times New Roman"/>
          <w:i/>
          <w:iCs/>
        </w:rPr>
        <w:t>P</w:t>
      </w:r>
      <w:r w:rsidR="001930D3">
        <w:rPr>
          <w:rFonts w:ascii="Times New Roman" w:hAnsi="Times New Roman"/>
          <w:i/>
          <w:iCs/>
          <w:vertAlign w:val="subscript"/>
        </w:rPr>
        <w:t>n</w:t>
      </w:r>
      <w:proofErr w:type="spellEnd"/>
      <w:r w:rsidR="001930D3" w:rsidRPr="001930D3">
        <w:rPr>
          <w:rFonts w:ascii="Times New Roman" w:hAnsi="Times New Roman"/>
        </w:rPr>
        <w:t>)</w:t>
      </w:r>
      <w:r>
        <w:rPr>
          <w:rFonts w:ascii="Times New Roman" w:hAnsi="Times New Roman"/>
        </w:rPr>
        <w:t xml:space="preserve"> </w:t>
      </w:r>
      <w:r>
        <w:rPr>
          <w:rFonts w:ascii="Times New Roman" w:hAnsi="Times New Roman"/>
        </w:rPr>
        <w:sym w:font="Symbol" w:char="F0AE"/>
      </w:r>
      <w:r>
        <w:rPr>
          <w:rFonts w:ascii="Times New Roman" w:hAnsi="Times New Roman"/>
        </w:rPr>
        <w:t xml:space="preserve"> 0</w:t>
      </w:r>
      <w:r w:rsidR="001930D3">
        <w:rPr>
          <w:rFonts w:ascii="Times New Roman" w:hAnsi="Times New Roman"/>
        </w:rPr>
        <w:t xml:space="preserve">. </w:t>
      </w:r>
      <w:r>
        <w:rPr>
          <w:rFonts w:ascii="Times New Roman" w:hAnsi="Times New Roman"/>
        </w:rPr>
        <w:t xml:space="preserve">In practice, we halt the </w:t>
      </w:r>
      <w:r w:rsidR="003943E8">
        <w:rPr>
          <w:rFonts w:ascii="Times New Roman" w:hAnsi="Times New Roman"/>
        </w:rPr>
        <w:t>iterations</w:t>
      </w:r>
      <w:r>
        <w:rPr>
          <w:rFonts w:ascii="Times New Roman" w:hAnsi="Times New Roman"/>
        </w:rPr>
        <w:t xml:space="preserve"> and declare </w:t>
      </w:r>
      <w:proofErr w:type="spellStart"/>
      <w:r>
        <w:rPr>
          <w:rFonts w:ascii="Times New Roman" w:hAnsi="Times New Roman"/>
          <w:i/>
          <w:iCs/>
        </w:rPr>
        <w:t>P</w:t>
      </w:r>
      <w:r w:rsidRPr="001930D3">
        <w:rPr>
          <w:rFonts w:ascii="Times New Roman" w:hAnsi="Times New Roman"/>
          <w:i/>
          <w:iCs/>
          <w:vertAlign w:val="superscript"/>
        </w:rPr>
        <w:t>v</w:t>
      </w:r>
      <w:r w:rsidRPr="001930D3">
        <w:rPr>
          <w:rFonts w:ascii="Times New Roman" w:hAnsi="Times New Roman"/>
          <w:vertAlign w:val="subscript"/>
        </w:rPr>
        <w:t>sat</w:t>
      </w:r>
      <w:proofErr w:type="spellEnd"/>
      <w:r>
        <w:rPr>
          <w:rFonts w:ascii="Times New Roman" w:hAnsi="Times New Roman"/>
        </w:rPr>
        <w:t xml:space="preserve"> to have been determine</w:t>
      </w:r>
      <w:r w:rsidR="003943E8">
        <w:rPr>
          <w:rFonts w:ascii="Times New Roman" w:hAnsi="Times New Roman"/>
        </w:rPr>
        <w:t>d</w:t>
      </w:r>
      <w:r>
        <w:rPr>
          <w:rFonts w:ascii="Times New Roman" w:hAnsi="Times New Roman"/>
        </w:rPr>
        <w:t xml:space="preserve"> when </w:t>
      </w:r>
      <w:r w:rsidR="001930D3">
        <w:rPr>
          <w:rFonts w:ascii="Times New Roman" w:hAnsi="Times New Roman"/>
        </w:rPr>
        <w:t>d</w:t>
      </w:r>
      <w:r w:rsidR="001930D3">
        <w:rPr>
          <w:rFonts w:ascii="Times New Roman" w:hAnsi="Times New Roman"/>
          <w:i/>
          <w:iCs/>
        </w:rPr>
        <w:t>x</w:t>
      </w:r>
      <w:r w:rsidR="001930D3">
        <w:rPr>
          <w:rFonts w:ascii="Times New Roman" w:hAnsi="Times New Roman"/>
        </w:rPr>
        <w:t xml:space="preserve"> </w:t>
      </w:r>
      <w:r>
        <w:rPr>
          <w:rFonts w:ascii="Times New Roman" w:hAnsi="Times New Roman"/>
        </w:rPr>
        <w:t xml:space="preserve">is less than a </w:t>
      </w:r>
      <w:r w:rsidR="001930D3">
        <w:rPr>
          <w:rFonts w:ascii="Times New Roman" w:hAnsi="Times New Roman"/>
        </w:rPr>
        <w:t>specified tolerance. If</w:t>
      </w:r>
      <w:r>
        <w:rPr>
          <w:rFonts w:ascii="Times New Roman" w:hAnsi="Times New Roman"/>
        </w:rPr>
        <w:t xml:space="preserve"> after a given iteration,</w:t>
      </w:r>
      <w:r w:rsidR="001930D3">
        <w:rPr>
          <w:rFonts w:ascii="Times New Roman" w:hAnsi="Times New Roman"/>
        </w:rPr>
        <w:t xml:space="preserve"> d</w:t>
      </w:r>
      <w:r w:rsidR="001930D3">
        <w:rPr>
          <w:rFonts w:ascii="Times New Roman" w:hAnsi="Times New Roman"/>
          <w:i/>
          <w:iCs/>
        </w:rPr>
        <w:t>x</w:t>
      </w:r>
      <w:r w:rsidR="001930D3">
        <w:rPr>
          <w:rFonts w:ascii="Times New Roman" w:hAnsi="Times New Roman"/>
        </w:rPr>
        <w:t xml:space="preserve"> </w:t>
      </w:r>
      <w:r>
        <w:rPr>
          <w:rFonts w:ascii="Times New Roman" w:hAnsi="Times New Roman"/>
        </w:rPr>
        <w:t xml:space="preserve">exceeds the </w:t>
      </w:r>
      <w:r w:rsidR="001930D3">
        <w:rPr>
          <w:rFonts w:ascii="Times New Roman" w:hAnsi="Times New Roman"/>
        </w:rPr>
        <w:t xml:space="preserve">specified tolerance, </w:t>
      </w:r>
      <w:r w:rsidR="001930D3">
        <w:rPr>
          <w:rFonts w:ascii="Times New Roman" w:hAnsi="Times New Roman"/>
          <w:i/>
          <w:iCs/>
        </w:rPr>
        <w:t>P</w:t>
      </w:r>
      <w:r w:rsidR="001930D3" w:rsidRPr="001930D3">
        <w:rPr>
          <w:rFonts w:ascii="Times New Roman" w:hAnsi="Times New Roman"/>
          <w:i/>
          <w:iCs/>
          <w:vertAlign w:val="subscript"/>
        </w:rPr>
        <w:t>n</w:t>
      </w:r>
      <w:r w:rsidR="001930D3" w:rsidRPr="001930D3">
        <w:rPr>
          <w:rFonts w:ascii="Times New Roman" w:hAnsi="Times New Roman"/>
          <w:vertAlign w:val="subscript"/>
        </w:rPr>
        <w:t>+1</w:t>
      </w:r>
      <w:r w:rsidR="001930D3">
        <w:rPr>
          <w:rFonts w:ascii="Times New Roman" w:hAnsi="Times New Roman"/>
          <w:i/>
          <w:iCs/>
        </w:rPr>
        <w:t xml:space="preserve"> </w:t>
      </w:r>
      <w:r w:rsidRPr="00CB334A">
        <w:rPr>
          <w:rFonts w:ascii="Times New Roman" w:hAnsi="Times New Roman"/>
        </w:rPr>
        <w:t>is set to</w:t>
      </w:r>
      <w:r>
        <w:rPr>
          <w:rFonts w:ascii="Times New Roman" w:hAnsi="Times New Roman"/>
        </w:rPr>
        <w:t xml:space="preserve"> </w:t>
      </w:r>
      <w:proofErr w:type="spellStart"/>
      <w:r w:rsidR="001930D3">
        <w:rPr>
          <w:rFonts w:ascii="Times New Roman" w:hAnsi="Times New Roman"/>
          <w:i/>
          <w:iCs/>
        </w:rPr>
        <w:t>P</w:t>
      </w:r>
      <w:r w:rsidR="001930D3" w:rsidRPr="001930D3">
        <w:rPr>
          <w:rFonts w:ascii="Times New Roman" w:hAnsi="Times New Roman"/>
          <w:i/>
          <w:iCs/>
          <w:vertAlign w:val="superscript"/>
        </w:rPr>
        <w:t>v</w:t>
      </w:r>
      <w:r w:rsidR="001930D3" w:rsidRPr="001930D3">
        <w:rPr>
          <w:rFonts w:ascii="Times New Roman" w:hAnsi="Times New Roman"/>
          <w:vertAlign w:val="subscript"/>
        </w:rPr>
        <w:t>sat</w:t>
      </w:r>
      <w:proofErr w:type="spellEnd"/>
      <w:r w:rsidR="001930D3">
        <w:rPr>
          <w:rFonts w:ascii="Times New Roman" w:hAnsi="Times New Roman"/>
        </w:rPr>
        <w:t xml:space="preserve"> </w:t>
      </w:r>
      <w:r w:rsidR="009A6F83">
        <w:rPr>
          <w:rFonts w:ascii="Times New Roman" w:hAnsi="Times New Roman"/>
        </w:rPr>
        <w:t xml:space="preserve">for the next iterations, </w:t>
      </w:r>
      <w:r w:rsidR="001B6D59">
        <w:rPr>
          <w:rFonts w:ascii="Times New Roman" w:hAnsi="Times New Roman"/>
        </w:rPr>
        <w:t xml:space="preserve">and steps 3–4 are repeated (i.e., the melt speciation is recalculated at the new </w:t>
      </w:r>
      <w:r w:rsidR="001B6D59">
        <w:rPr>
          <w:rFonts w:ascii="Times New Roman" w:hAnsi="Times New Roman"/>
          <w:i/>
          <w:iCs/>
        </w:rPr>
        <w:t>P</w:t>
      </w:r>
      <w:r w:rsidR="001B6D59">
        <w:rPr>
          <w:rFonts w:ascii="Times New Roman" w:hAnsi="Times New Roman"/>
        </w:rPr>
        <w:t xml:space="preserve">, as is </w:t>
      </w:r>
      <w:proofErr w:type="spellStart"/>
      <w:r w:rsidR="001B6D59">
        <w:rPr>
          <w:rFonts w:ascii="Times New Roman" w:hAnsi="Times New Roman"/>
          <w:i/>
          <w:iCs/>
        </w:rPr>
        <w:t>P</w:t>
      </w:r>
      <w:r w:rsidR="001B6D59" w:rsidRPr="001B6D59">
        <w:rPr>
          <w:rFonts w:ascii="Times New Roman" w:hAnsi="Times New Roman"/>
          <w:i/>
          <w:iCs/>
          <w:vertAlign w:val="superscript"/>
        </w:rPr>
        <w:t>v</w:t>
      </w:r>
      <w:r w:rsidR="001B6D59" w:rsidRPr="001B6D59">
        <w:rPr>
          <w:rFonts w:ascii="Times New Roman" w:hAnsi="Times New Roman"/>
          <w:vertAlign w:val="subscript"/>
        </w:rPr>
        <w:t>sat</w:t>
      </w:r>
      <w:proofErr w:type="spellEnd"/>
      <w:r w:rsidR="001B6D59">
        <w:rPr>
          <w:rFonts w:ascii="Times New Roman" w:hAnsi="Times New Roman"/>
        </w:rPr>
        <w:t>) until d</w:t>
      </w:r>
      <w:r w:rsidR="001B6D59">
        <w:rPr>
          <w:rFonts w:ascii="Times New Roman" w:hAnsi="Times New Roman"/>
          <w:i/>
          <w:iCs/>
        </w:rPr>
        <w:t>x</w:t>
      </w:r>
      <w:r w:rsidR="001B6D59">
        <w:rPr>
          <w:rFonts w:ascii="Times New Roman" w:hAnsi="Times New Roman"/>
        </w:rPr>
        <w:t xml:space="preserve"> is within the specified tolerance.</w:t>
      </w:r>
      <w:r w:rsidR="009A6F83">
        <w:rPr>
          <w:rFonts w:ascii="Times New Roman" w:hAnsi="Times New Roman"/>
        </w:rPr>
        <w:t xml:space="preserve"> In this study, d</w:t>
      </w:r>
      <w:r w:rsidR="009A6F83">
        <w:rPr>
          <w:rFonts w:ascii="Times New Roman" w:hAnsi="Times New Roman"/>
          <w:i/>
          <w:iCs/>
        </w:rPr>
        <w:t>x</w:t>
      </w:r>
      <w:r w:rsidR="009A6F83">
        <w:rPr>
          <w:rFonts w:ascii="Times New Roman" w:hAnsi="Times New Roman"/>
        </w:rPr>
        <w:t xml:space="preserve"> = 0.1 bar.</w:t>
      </w:r>
    </w:p>
    <w:p w14:paraId="346E3457" w14:textId="0E0D4128" w:rsidR="001B6D59" w:rsidRDefault="001B6D59" w:rsidP="001B6D59">
      <w:pPr>
        <w:pStyle w:val="ListParagraph"/>
        <w:numPr>
          <w:ilvl w:val="0"/>
          <w:numId w:val="17"/>
        </w:numPr>
        <w:jc w:val="both"/>
        <w:rPr>
          <w:rFonts w:ascii="Times New Roman" w:hAnsi="Times New Roman"/>
        </w:rPr>
      </w:pPr>
      <w:r>
        <w:rPr>
          <w:rFonts w:ascii="Times New Roman" w:hAnsi="Times New Roman"/>
        </w:rPr>
        <w:t xml:space="preserve">Once </w:t>
      </w:r>
      <w:proofErr w:type="spellStart"/>
      <w:r>
        <w:rPr>
          <w:rFonts w:ascii="Times New Roman" w:hAnsi="Times New Roman"/>
          <w:i/>
          <w:iCs/>
        </w:rPr>
        <w:t>P</w:t>
      </w:r>
      <w:r w:rsidRPr="001B6D59">
        <w:rPr>
          <w:rFonts w:ascii="Times New Roman" w:hAnsi="Times New Roman"/>
          <w:i/>
          <w:iCs/>
          <w:vertAlign w:val="superscript"/>
        </w:rPr>
        <w:t>v</w:t>
      </w:r>
      <w:r w:rsidRPr="001B6D59">
        <w:rPr>
          <w:rFonts w:ascii="Times New Roman" w:hAnsi="Times New Roman"/>
          <w:vertAlign w:val="subscript"/>
        </w:rPr>
        <w:t>sat</w:t>
      </w:r>
      <w:proofErr w:type="spellEnd"/>
      <w:r>
        <w:rPr>
          <w:rFonts w:ascii="Times New Roman" w:hAnsi="Times New Roman"/>
        </w:rPr>
        <w:t xml:space="preserve"> has been found</w:t>
      </w:r>
      <w:r w:rsidR="009A6F83">
        <w:rPr>
          <w:rFonts w:ascii="Times New Roman" w:hAnsi="Times New Roman"/>
        </w:rPr>
        <w:t xml:space="preserve"> based on the criteria of step 4e</w:t>
      </w:r>
      <w:r>
        <w:rPr>
          <w:rFonts w:ascii="Times New Roman" w:hAnsi="Times New Roman"/>
        </w:rPr>
        <w:t>, the melt speciation and vapor composition are calculated</w:t>
      </w:r>
      <w:r w:rsidR="009A6F83">
        <w:rPr>
          <w:rFonts w:ascii="Times New Roman" w:hAnsi="Times New Roman"/>
        </w:rPr>
        <w:t xml:space="preserve"> at </w:t>
      </w:r>
      <w:proofErr w:type="spellStart"/>
      <w:proofErr w:type="gramStart"/>
      <w:r w:rsidR="009A6F83">
        <w:rPr>
          <w:rFonts w:ascii="Times New Roman" w:hAnsi="Times New Roman"/>
          <w:i/>
          <w:iCs/>
        </w:rPr>
        <w:t>P</w:t>
      </w:r>
      <w:r w:rsidR="009A6F83" w:rsidRPr="001B6D59">
        <w:rPr>
          <w:rFonts w:ascii="Times New Roman" w:hAnsi="Times New Roman"/>
          <w:i/>
          <w:iCs/>
          <w:vertAlign w:val="superscript"/>
        </w:rPr>
        <w:t>v</w:t>
      </w:r>
      <w:r w:rsidR="009A6F83" w:rsidRPr="001B6D59">
        <w:rPr>
          <w:rFonts w:ascii="Times New Roman" w:hAnsi="Times New Roman"/>
          <w:vertAlign w:val="subscript"/>
        </w:rPr>
        <w:t>sat</w:t>
      </w:r>
      <w:proofErr w:type="spellEnd"/>
      <w:proofErr w:type="gramEnd"/>
      <w:r w:rsidR="00247D65">
        <w:rPr>
          <w:rFonts w:ascii="Times New Roman" w:hAnsi="Times New Roman"/>
        </w:rPr>
        <w:t xml:space="preserve"> and we check whether the melt is supersaturated with graphite, </w:t>
      </w:r>
      <w:proofErr w:type="spellStart"/>
      <w:r w:rsidR="00247D65">
        <w:rPr>
          <w:rFonts w:ascii="Times New Roman" w:hAnsi="Times New Roman"/>
        </w:rPr>
        <w:t>sulfide</w:t>
      </w:r>
      <w:proofErr w:type="spellEnd"/>
      <w:r w:rsidR="00247D65">
        <w:rPr>
          <w:rFonts w:ascii="Times New Roman" w:hAnsi="Times New Roman"/>
        </w:rPr>
        <w:t>, or anhydrite</w:t>
      </w:r>
    </w:p>
    <w:p w14:paraId="52AB1929" w14:textId="3F1D949B" w:rsidR="001B6D59" w:rsidRDefault="001B6D59" w:rsidP="001B6D59">
      <w:pPr>
        <w:jc w:val="both"/>
        <w:rPr>
          <w:rFonts w:ascii="Times New Roman" w:hAnsi="Times New Roman"/>
        </w:rPr>
      </w:pPr>
      <w:r>
        <w:rPr>
          <w:rFonts w:ascii="Times New Roman" w:hAnsi="Times New Roman"/>
          <w:i/>
          <w:iCs/>
        </w:rPr>
        <w:t>Notes</w:t>
      </w:r>
      <w:r>
        <w:rPr>
          <w:rFonts w:ascii="Times New Roman" w:hAnsi="Times New Roman"/>
        </w:rPr>
        <w:t>:</w:t>
      </w:r>
    </w:p>
    <w:p w14:paraId="6CDAE3FC" w14:textId="2D89621D" w:rsidR="001B6D59" w:rsidRDefault="001B6D59" w:rsidP="001B6D59">
      <w:pPr>
        <w:pStyle w:val="ListParagraph"/>
        <w:numPr>
          <w:ilvl w:val="0"/>
          <w:numId w:val="16"/>
        </w:numPr>
        <w:jc w:val="both"/>
        <w:rPr>
          <w:rFonts w:ascii="Times New Roman" w:hAnsi="Times New Roman"/>
        </w:rPr>
      </w:pPr>
      <w:r>
        <w:rPr>
          <w:rFonts w:ascii="Times New Roman" w:hAnsi="Times New Roman"/>
        </w:rPr>
        <w:t>For case 1</w:t>
      </w:r>
      <w:r w:rsidR="009A6F83">
        <w:rPr>
          <w:rFonts w:ascii="Times New Roman" w:hAnsi="Times New Roman"/>
        </w:rPr>
        <w:t xml:space="preserve"> (only oxidised C-O-H species in the melt and vapor)</w:t>
      </w:r>
      <w:r>
        <w:rPr>
          <w:rFonts w:ascii="Times New Roman" w:hAnsi="Times New Roman"/>
        </w:rPr>
        <w:t>, melt speciation does not have to be calculated</w:t>
      </w:r>
      <w:r w:rsidR="00071A82">
        <w:rPr>
          <w:rFonts w:ascii="Times New Roman" w:hAnsi="Times New Roman"/>
        </w:rPr>
        <w:t>:</w:t>
      </w:r>
      <w:r>
        <w:rPr>
          <w:rFonts w:ascii="Times New Roman" w:hAnsi="Times New Roman"/>
        </w:rPr>
        <w:t xml:space="preserve"> </w:t>
      </w:r>
      <w:r w:rsidR="00071A82">
        <w:rPr>
          <w:rFonts w:ascii="Times New Roman" w:hAnsi="Times New Roman"/>
        </w:rPr>
        <w:t>only steps 1; 2;</w:t>
      </w:r>
      <w:r>
        <w:rPr>
          <w:rFonts w:ascii="Times New Roman" w:hAnsi="Times New Roman"/>
        </w:rPr>
        <w:t xml:space="preserve"> 3</w:t>
      </w:r>
      <w:r w:rsidR="00071A82">
        <w:rPr>
          <w:rFonts w:ascii="Times New Roman" w:hAnsi="Times New Roman"/>
        </w:rPr>
        <w:t>b</w:t>
      </w:r>
      <w:r w:rsidR="00A8410B">
        <w:rPr>
          <w:rFonts w:ascii="Times New Roman" w:hAnsi="Times New Roman"/>
        </w:rPr>
        <w:t>–</w:t>
      </w:r>
      <w:r w:rsidR="00071A82">
        <w:rPr>
          <w:rFonts w:ascii="Times New Roman" w:hAnsi="Times New Roman"/>
        </w:rPr>
        <w:t xml:space="preserve">c (excluding references to </w:t>
      </w:r>
      <w:r w:rsidR="00071A82" w:rsidRPr="00071A82">
        <w:rPr>
          <w:rFonts w:ascii="Times New Roman" w:hAnsi="Times New Roman"/>
          <w:i/>
          <w:iCs/>
        </w:rPr>
        <w:t>f</w:t>
      </w:r>
      <w:r w:rsidR="00071A82" w:rsidRPr="00071A82">
        <w:rPr>
          <w:rFonts w:ascii="Times New Roman" w:hAnsi="Times New Roman"/>
          <w:vertAlign w:val="subscript"/>
        </w:rPr>
        <w:t>S2</w:t>
      </w:r>
      <w:r w:rsidR="00071A82">
        <w:rPr>
          <w:rFonts w:ascii="Times New Roman" w:hAnsi="Times New Roman"/>
        </w:rPr>
        <w:t xml:space="preserve"> and *S</w:t>
      </w:r>
      <w:r w:rsidR="00071A82" w:rsidRPr="00896FE2">
        <w:rPr>
          <w:rFonts w:ascii="Times New Roman" w:hAnsi="Times New Roman"/>
          <w:vertAlign w:val="superscript"/>
        </w:rPr>
        <w:t>2-</w:t>
      </w:r>
      <w:r w:rsidR="00071A82">
        <w:rPr>
          <w:rFonts w:ascii="Times New Roman" w:hAnsi="Times New Roman"/>
        </w:rPr>
        <w:t>); 4a (excluding references to species other than CO</w:t>
      </w:r>
      <w:r w:rsidR="00071A82" w:rsidRPr="00071A82">
        <w:rPr>
          <w:rFonts w:ascii="Times New Roman" w:hAnsi="Times New Roman"/>
          <w:vertAlign w:val="subscript"/>
        </w:rPr>
        <w:t>2</w:t>
      </w:r>
      <w:r w:rsidR="00071A82">
        <w:rPr>
          <w:rFonts w:ascii="Times New Roman" w:hAnsi="Times New Roman"/>
        </w:rPr>
        <w:t xml:space="preserve"> and H</w:t>
      </w:r>
      <w:r w:rsidR="00071A82" w:rsidRPr="00071A82">
        <w:rPr>
          <w:rFonts w:ascii="Times New Roman" w:hAnsi="Times New Roman"/>
          <w:vertAlign w:val="subscript"/>
        </w:rPr>
        <w:t>2</w:t>
      </w:r>
      <w:r w:rsidR="00071A82">
        <w:rPr>
          <w:rFonts w:ascii="Times New Roman" w:hAnsi="Times New Roman"/>
        </w:rPr>
        <w:t>O)</w:t>
      </w:r>
      <w:r w:rsidR="00A8410B">
        <w:rPr>
          <w:rFonts w:ascii="Times New Roman" w:hAnsi="Times New Roman"/>
        </w:rPr>
        <w:t xml:space="preserve"> and</w:t>
      </w:r>
      <w:r w:rsidR="00071A82">
        <w:rPr>
          <w:rFonts w:ascii="Times New Roman" w:hAnsi="Times New Roman"/>
        </w:rPr>
        <w:t xml:space="preserve"> </w:t>
      </w:r>
      <w:r w:rsidR="00247D65">
        <w:rPr>
          <w:rFonts w:ascii="Times New Roman" w:hAnsi="Times New Roman"/>
        </w:rPr>
        <w:t>4</w:t>
      </w:r>
      <w:r w:rsidR="00071A82">
        <w:rPr>
          <w:rFonts w:ascii="Times New Roman" w:hAnsi="Times New Roman"/>
        </w:rPr>
        <w:t>c</w:t>
      </w:r>
      <w:r w:rsidR="00A8410B">
        <w:rPr>
          <w:rFonts w:ascii="Times New Roman" w:hAnsi="Times New Roman"/>
        </w:rPr>
        <w:t>–</w:t>
      </w:r>
      <w:r w:rsidR="00071A82">
        <w:rPr>
          <w:rFonts w:ascii="Times New Roman" w:hAnsi="Times New Roman"/>
        </w:rPr>
        <w:t>e; and 5 are used.</w:t>
      </w:r>
    </w:p>
    <w:p w14:paraId="4A610996" w14:textId="2EB83726" w:rsidR="003C2B11" w:rsidRPr="00C21698" w:rsidRDefault="003C2B11" w:rsidP="00C21698">
      <w:pPr>
        <w:pStyle w:val="ListParagraph"/>
        <w:numPr>
          <w:ilvl w:val="0"/>
          <w:numId w:val="16"/>
        </w:numPr>
        <w:jc w:val="both"/>
        <w:rPr>
          <w:rFonts w:ascii="Times New Roman" w:hAnsi="Times New Roman"/>
        </w:rPr>
      </w:pPr>
      <w:r>
        <w:rPr>
          <w:rFonts w:ascii="Times New Roman" w:hAnsi="Times New Roman"/>
        </w:rPr>
        <w:t>For case 2</w:t>
      </w:r>
      <w:r w:rsidR="009A6F83">
        <w:rPr>
          <w:rFonts w:ascii="Times New Roman" w:hAnsi="Times New Roman"/>
        </w:rPr>
        <w:t xml:space="preserve"> (reduced and oxidised C-O-H species in the melt and vapor)</w:t>
      </w:r>
      <w:r>
        <w:rPr>
          <w:rFonts w:ascii="Times New Roman" w:hAnsi="Times New Roman"/>
        </w:rPr>
        <w:t xml:space="preserve">, melt speciation does have to be calculated: steps 1; 2; 3a–h (excluding references to S-bearing species); 4a (excluding references to S-bearing species) and </w:t>
      </w:r>
      <w:r w:rsidR="00247D65">
        <w:rPr>
          <w:rFonts w:ascii="Times New Roman" w:hAnsi="Times New Roman"/>
        </w:rPr>
        <w:t>4</w:t>
      </w:r>
      <w:r>
        <w:rPr>
          <w:rFonts w:ascii="Times New Roman" w:hAnsi="Times New Roman"/>
        </w:rPr>
        <w:t>c–e; and 5 are used.</w:t>
      </w:r>
    </w:p>
    <w:p w14:paraId="45A5ABB3" w14:textId="0735902E" w:rsidR="00071A82" w:rsidRDefault="00071A82" w:rsidP="00071A82">
      <w:pPr>
        <w:pStyle w:val="ListParagraph"/>
        <w:numPr>
          <w:ilvl w:val="0"/>
          <w:numId w:val="16"/>
        </w:numPr>
        <w:jc w:val="both"/>
        <w:rPr>
          <w:rFonts w:ascii="Times New Roman" w:hAnsi="Times New Roman"/>
        </w:rPr>
      </w:pPr>
      <w:r>
        <w:rPr>
          <w:rFonts w:ascii="Times New Roman" w:hAnsi="Times New Roman"/>
        </w:rPr>
        <w:t xml:space="preserve">For case </w:t>
      </w:r>
      <w:r w:rsidR="003C2B11">
        <w:rPr>
          <w:rFonts w:ascii="Times New Roman" w:hAnsi="Times New Roman"/>
        </w:rPr>
        <w:t>2’</w:t>
      </w:r>
      <w:r w:rsidR="009A6F83">
        <w:rPr>
          <w:rFonts w:ascii="Times New Roman" w:hAnsi="Times New Roman"/>
        </w:rPr>
        <w:t xml:space="preserve"> (reduced and oxidised C-O-H species in the vapor, only oxidised C-O-H species in the melt)</w:t>
      </w:r>
      <w:r>
        <w:rPr>
          <w:rFonts w:ascii="Times New Roman" w:hAnsi="Times New Roman"/>
        </w:rPr>
        <w:t>, melt speciation does not have to be calculated: only steps 1; 2; 3b</w:t>
      </w:r>
      <w:r w:rsidR="00A8410B">
        <w:rPr>
          <w:rFonts w:ascii="Times New Roman" w:hAnsi="Times New Roman"/>
        </w:rPr>
        <w:t>–</w:t>
      </w:r>
      <w:r>
        <w:rPr>
          <w:rFonts w:ascii="Times New Roman" w:hAnsi="Times New Roman"/>
        </w:rPr>
        <w:t xml:space="preserve">c (excluding </w:t>
      </w:r>
      <w:r>
        <w:rPr>
          <w:rFonts w:ascii="Times New Roman" w:hAnsi="Times New Roman"/>
        </w:rPr>
        <w:lastRenderedPageBreak/>
        <w:t xml:space="preserve">references to </w:t>
      </w:r>
      <w:r w:rsidRPr="00071A82">
        <w:rPr>
          <w:rFonts w:ascii="Times New Roman" w:hAnsi="Times New Roman"/>
          <w:i/>
          <w:iCs/>
        </w:rPr>
        <w:t>f</w:t>
      </w:r>
      <w:r w:rsidRPr="00071A82">
        <w:rPr>
          <w:rFonts w:ascii="Times New Roman" w:hAnsi="Times New Roman"/>
          <w:vertAlign w:val="subscript"/>
        </w:rPr>
        <w:t>S2</w:t>
      </w:r>
      <w:r>
        <w:rPr>
          <w:rFonts w:ascii="Times New Roman" w:hAnsi="Times New Roman"/>
        </w:rPr>
        <w:t xml:space="preserve"> and *S</w:t>
      </w:r>
      <w:r w:rsidRPr="00896FE2">
        <w:rPr>
          <w:rFonts w:ascii="Times New Roman" w:hAnsi="Times New Roman"/>
          <w:vertAlign w:val="superscript"/>
        </w:rPr>
        <w:t>2-</w:t>
      </w:r>
      <w:r>
        <w:rPr>
          <w:rFonts w:ascii="Times New Roman" w:hAnsi="Times New Roman"/>
        </w:rPr>
        <w:t xml:space="preserve">); 4a (excluding references to </w:t>
      </w:r>
      <w:r w:rsidR="00247D65">
        <w:rPr>
          <w:rFonts w:ascii="Times New Roman" w:hAnsi="Times New Roman"/>
        </w:rPr>
        <w:t xml:space="preserve">S-bearing </w:t>
      </w:r>
      <w:r>
        <w:rPr>
          <w:rFonts w:ascii="Times New Roman" w:hAnsi="Times New Roman"/>
        </w:rPr>
        <w:t>species)</w:t>
      </w:r>
      <w:r w:rsidR="00A8410B">
        <w:rPr>
          <w:rFonts w:ascii="Times New Roman" w:hAnsi="Times New Roman"/>
        </w:rPr>
        <w:t xml:space="preserve"> and</w:t>
      </w:r>
      <w:r>
        <w:rPr>
          <w:rFonts w:ascii="Times New Roman" w:hAnsi="Times New Roman"/>
        </w:rPr>
        <w:t xml:space="preserve"> c</w:t>
      </w:r>
      <w:r w:rsidR="00A8410B">
        <w:rPr>
          <w:rFonts w:ascii="Times New Roman" w:hAnsi="Times New Roman"/>
        </w:rPr>
        <w:t>–</w:t>
      </w:r>
      <w:r>
        <w:rPr>
          <w:rFonts w:ascii="Times New Roman" w:hAnsi="Times New Roman"/>
        </w:rPr>
        <w:t>e; and 5 are used.</w:t>
      </w:r>
    </w:p>
    <w:p w14:paraId="1751C3EE" w14:textId="562D39E2" w:rsidR="003C2B11" w:rsidRPr="00C21698" w:rsidDel="003C2B11" w:rsidRDefault="003C2B11" w:rsidP="00C21698">
      <w:pPr>
        <w:pStyle w:val="ListParagraph"/>
        <w:numPr>
          <w:ilvl w:val="0"/>
          <w:numId w:val="16"/>
        </w:numPr>
        <w:jc w:val="both"/>
        <w:rPr>
          <w:rFonts w:ascii="Times New Roman" w:hAnsi="Times New Roman"/>
        </w:rPr>
      </w:pPr>
      <w:r>
        <w:rPr>
          <w:rFonts w:ascii="Times New Roman" w:hAnsi="Times New Roman"/>
        </w:rPr>
        <w:t xml:space="preserve">For case </w:t>
      </w:r>
      <w:r w:rsidR="00E865A3">
        <w:rPr>
          <w:rFonts w:ascii="Times New Roman" w:hAnsi="Times New Roman"/>
        </w:rPr>
        <w:t>3</w:t>
      </w:r>
      <w:r w:rsidR="009A6F83">
        <w:rPr>
          <w:rFonts w:ascii="Times New Roman" w:hAnsi="Times New Roman"/>
        </w:rPr>
        <w:t xml:space="preserve"> (all C-O-H-S species in the melt and vapor)</w:t>
      </w:r>
      <w:r>
        <w:rPr>
          <w:rFonts w:ascii="Times New Roman" w:hAnsi="Times New Roman"/>
        </w:rPr>
        <w:t>, melt speciation does have to calculated: all steps are included.</w:t>
      </w:r>
    </w:p>
    <w:p w14:paraId="27BA04CB" w14:textId="7D9F6E95" w:rsidR="00071A82" w:rsidRDefault="00B169D8" w:rsidP="001B6D59">
      <w:pPr>
        <w:pStyle w:val="ListParagraph"/>
        <w:numPr>
          <w:ilvl w:val="0"/>
          <w:numId w:val="16"/>
        </w:numPr>
        <w:jc w:val="both"/>
        <w:rPr>
          <w:rFonts w:ascii="Times New Roman" w:hAnsi="Times New Roman"/>
        </w:rPr>
      </w:pPr>
      <w:r>
        <w:rPr>
          <w:rFonts w:ascii="Times New Roman" w:hAnsi="Times New Roman"/>
        </w:rPr>
        <w:t xml:space="preserve">For case </w:t>
      </w:r>
      <w:r w:rsidR="00E865A3">
        <w:rPr>
          <w:rFonts w:ascii="Times New Roman" w:hAnsi="Times New Roman"/>
        </w:rPr>
        <w:t>3</w:t>
      </w:r>
      <w:r w:rsidR="003C2B11">
        <w:rPr>
          <w:rFonts w:ascii="Times New Roman" w:hAnsi="Times New Roman"/>
        </w:rPr>
        <w:t>’</w:t>
      </w:r>
      <w:r w:rsidR="009A6F83">
        <w:rPr>
          <w:rFonts w:ascii="Times New Roman" w:hAnsi="Times New Roman"/>
        </w:rPr>
        <w:t xml:space="preserve"> (all C-O-H-S species in the melt and vapor, except H</w:t>
      </w:r>
      <w:r w:rsidR="009A6F83" w:rsidRPr="009A6F83">
        <w:rPr>
          <w:rFonts w:ascii="Times New Roman" w:hAnsi="Times New Roman"/>
          <w:vertAlign w:val="subscript"/>
        </w:rPr>
        <w:t>2</w:t>
      </w:r>
      <w:r w:rsidR="009A6F83">
        <w:rPr>
          <w:rFonts w:ascii="Times New Roman" w:hAnsi="Times New Roman"/>
        </w:rPr>
        <w:t>S</w:t>
      </w:r>
      <w:r w:rsidR="009A6F83" w:rsidRPr="009A6F83">
        <w:rPr>
          <w:rFonts w:ascii="Times New Roman" w:hAnsi="Times New Roman"/>
          <w:vertAlign w:val="subscript"/>
        </w:rPr>
        <w:t>mol</w:t>
      </w:r>
      <w:r w:rsidR="009A6F83">
        <w:rPr>
          <w:rFonts w:ascii="Times New Roman" w:hAnsi="Times New Roman"/>
        </w:rPr>
        <w:t xml:space="preserve"> is insoluble in the melt)</w:t>
      </w:r>
      <w:r>
        <w:rPr>
          <w:rFonts w:ascii="Times New Roman" w:hAnsi="Times New Roman"/>
        </w:rPr>
        <w:t>, melt speciation does have to be calculated: all steps are included, except H</w:t>
      </w:r>
      <w:r w:rsidRPr="00AA64DF">
        <w:rPr>
          <w:rFonts w:ascii="Times New Roman" w:hAnsi="Times New Roman"/>
          <w:vertAlign w:val="subscript"/>
        </w:rPr>
        <w:t>2</w:t>
      </w:r>
      <w:r>
        <w:rPr>
          <w:rFonts w:ascii="Times New Roman" w:hAnsi="Times New Roman"/>
        </w:rPr>
        <w:t>S</w:t>
      </w:r>
      <w:r w:rsidRPr="00AA64DF">
        <w:rPr>
          <w:rFonts w:ascii="Times New Roman" w:hAnsi="Times New Roman"/>
          <w:vertAlign w:val="subscript"/>
        </w:rPr>
        <w:t>mol</w:t>
      </w:r>
      <w:r>
        <w:rPr>
          <w:rFonts w:ascii="Times New Roman" w:hAnsi="Times New Roman"/>
        </w:rPr>
        <w:t xml:space="preserve"> is not calculated in step 3e</w:t>
      </w:r>
      <w:r w:rsidR="00A8410B">
        <w:rPr>
          <w:rFonts w:ascii="Times New Roman" w:hAnsi="Times New Roman"/>
        </w:rPr>
        <w:t xml:space="preserve"> </w:t>
      </w:r>
      <w:r>
        <w:rPr>
          <w:rFonts w:ascii="Times New Roman" w:hAnsi="Times New Roman"/>
        </w:rPr>
        <w:t>and therefore does not contribute to the mass balances or values of the derivatives.</w:t>
      </w:r>
    </w:p>
    <w:p w14:paraId="5100F9E7" w14:textId="2B389962" w:rsidR="00B169D8" w:rsidRPr="009C0DC1" w:rsidRDefault="00B169D8" w:rsidP="001B6D59">
      <w:pPr>
        <w:pStyle w:val="ListParagraph"/>
        <w:numPr>
          <w:ilvl w:val="0"/>
          <w:numId w:val="16"/>
        </w:numPr>
        <w:jc w:val="both"/>
        <w:rPr>
          <w:rFonts w:ascii="Times New Roman" w:hAnsi="Times New Roman"/>
        </w:rPr>
      </w:pPr>
      <w:r>
        <w:rPr>
          <w:rFonts w:ascii="Times New Roman" w:hAnsi="Times New Roman"/>
        </w:rPr>
        <w:t xml:space="preserve">For case </w:t>
      </w:r>
      <w:r w:rsidR="00E865A3">
        <w:rPr>
          <w:rFonts w:ascii="Times New Roman" w:hAnsi="Times New Roman"/>
        </w:rPr>
        <w:t>4</w:t>
      </w:r>
      <w:r w:rsidR="009A6F83">
        <w:rPr>
          <w:rFonts w:ascii="Times New Roman" w:hAnsi="Times New Roman"/>
        </w:rPr>
        <w:t xml:space="preserve"> (only S-O species in the melt and vapor)</w:t>
      </w:r>
      <w:r>
        <w:rPr>
          <w:rFonts w:ascii="Times New Roman" w:hAnsi="Times New Roman"/>
        </w:rPr>
        <w:t>, see Supplementary Material in</w:t>
      </w:r>
      <w:r w:rsidR="000B2742">
        <w:rPr>
          <w:rFonts w:ascii="Times New Roman" w:hAnsi="Times New Roman"/>
        </w:rPr>
        <w:t xml:space="preserve"> </w:t>
      </w:r>
      <w:r w:rsidR="000B2742">
        <w:rPr>
          <w:rFonts w:ascii="Times New Roman" w:hAnsi="Times New Roman"/>
        </w:rPr>
        <w:fldChar w:fldCharType="begin" w:fldLock="1"/>
      </w:r>
      <w:r w:rsidR="003910EA">
        <w:rPr>
          <w:rFonts w:ascii="Times New Roman" w:hAnsi="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000B2742">
        <w:rPr>
          <w:rFonts w:ascii="Times New Roman" w:hAnsi="Times New Roman"/>
        </w:rPr>
        <w:fldChar w:fldCharType="separate"/>
      </w:r>
      <w:r w:rsidR="00E865A3" w:rsidRPr="00E865A3">
        <w:rPr>
          <w:rFonts w:ascii="Times New Roman" w:hAnsi="Times New Roman"/>
          <w:noProof/>
        </w:rPr>
        <w:t xml:space="preserve">Hughes et al. </w:t>
      </w:r>
      <w:r w:rsidR="00E865A3">
        <w:rPr>
          <w:rFonts w:ascii="Times New Roman" w:hAnsi="Times New Roman"/>
          <w:noProof/>
        </w:rPr>
        <w:t>(</w:t>
      </w:r>
      <w:r w:rsidR="00E865A3" w:rsidRPr="00E865A3">
        <w:rPr>
          <w:rFonts w:ascii="Times New Roman" w:hAnsi="Times New Roman"/>
          <w:noProof/>
        </w:rPr>
        <w:t>2023)</w:t>
      </w:r>
      <w:r w:rsidR="000B2742">
        <w:rPr>
          <w:rFonts w:ascii="Times New Roman" w:hAnsi="Times New Roman"/>
        </w:rPr>
        <w:fldChar w:fldCharType="end"/>
      </w:r>
      <w:r>
        <w:rPr>
          <w:rFonts w:ascii="Times New Roman" w:hAnsi="Times New Roman"/>
        </w:rPr>
        <w:t xml:space="preserve">: </w:t>
      </w:r>
      <w:r w:rsidR="0053339C">
        <w:rPr>
          <w:rFonts w:ascii="Times New Roman" w:hAnsi="Times New Roman"/>
        </w:rPr>
        <w:t xml:space="preserve">“2.1 Silicate melt + vapor: </w:t>
      </w:r>
      <w:r w:rsidR="0053339C">
        <w:rPr>
          <w:rFonts w:ascii="Times New Roman" w:hAnsi="Times New Roman"/>
          <w:i/>
          <w:iCs/>
        </w:rPr>
        <w:t>T</w:t>
      </w:r>
      <w:r w:rsidR="0053339C">
        <w:rPr>
          <w:rFonts w:ascii="Times New Roman" w:hAnsi="Times New Roman"/>
        </w:rPr>
        <w:t xml:space="preserve">, </w:t>
      </w:r>
      <w:r w:rsidR="0053339C">
        <w:rPr>
          <w:rFonts w:ascii="Times New Roman" w:hAnsi="Times New Roman"/>
          <w:i/>
          <w:iCs/>
        </w:rPr>
        <w:t>f</w:t>
      </w:r>
      <w:r w:rsidR="0053339C" w:rsidRPr="0053339C">
        <w:rPr>
          <w:rFonts w:ascii="Times New Roman" w:hAnsi="Times New Roman"/>
          <w:iCs/>
          <w:vertAlign w:val="subscript"/>
        </w:rPr>
        <w:t>O2</w:t>
      </w:r>
      <w:r w:rsidR="0053339C">
        <w:rPr>
          <w:rFonts w:ascii="Times New Roman" w:hAnsi="Times New Roman"/>
          <w:iCs/>
        </w:rPr>
        <w:t xml:space="preserve">, and </w:t>
      </w:r>
      <w:r w:rsidR="0053339C">
        <w:rPr>
          <w:rFonts w:ascii="Times New Roman" w:hAnsi="Times New Roman"/>
          <w:i/>
        </w:rPr>
        <w:t>f</w:t>
      </w:r>
      <w:r w:rsidR="0053339C" w:rsidRPr="0053339C">
        <w:rPr>
          <w:rFonts w:ascii="Times New Roman" w:hAnsi="Times New Roman"/>
          <w:iCs/>
          <w:vertAlign w:val="subscript"/>
        </w:rPr>
        <w:t>S2</w:t>
      </w:r>
      <w:r w:rsidR="0053339C">
        <w:rPr>
          <w:rFonts w:ascii="Times New Roman" w:hAnsi="Times New Roman"/>
          <w:iCs/>
        </w:rPr>
        <w:t xml:space="preserve">, </w:t>
      </w:r>
      <w:proofErr w:type="spellStart"/>
      <w:r w:rsidR="0053339C" w:rsidRPr="0053339C">
        <w:rPr>
          <w:rFonts w:ascii="Times New Roman" w:hAnsi="Times New Roman"/>
          <w:i/>
        </w:rPr>
        <w:t>w</w:t>
      </w:r>
      <w:r w:rsidR="0053339C" w:rsidRPr="0053339C">
        <w:rPr>
          <w:rFonts w:ascii="Times New Roman" w:hAnsi="Times New Roman"/>
          <w:i/>
          <w:vertAlign w:val="superscript"/>
        </w:rPr>
        <w:t>m</w:t>
      </w:r>
      <w:r w:rsidR="0053339C" w:rsidRPr="0053339C">
        <w:rPr>
          <w:rFonts w:ascii="Times New Roman" w:hAnsi="Times New Roman"/>
          <w:iCs/>
          <w:vertAlign w:val="subscript"/>
        </w:rPr>
        <w:t>ST</w:t>
      </w:r>
      <w:proofErr w:type="spellEnd"/>
      <w:r w:rsidR="0053339C">
        <w:rPr>
          <w:rFonts w:ascii="Times New Roman" w:hAnsi="Times New Roman"/>
          <w:iCs/>
        </w:rPr>
        <w:t xml:space="preserve">, </w:t>
      </w:r>
      <w:r w:rsidR="0053339C" w:rsidRPr="0053339C">
        <w:rPr>
          <w:rFonts w:ascii="Times New Roman" w:hAnsi="Times New Roman"/>
          <w:i/>
        </w:rPr>
        <w:t>µ</w:t>
      </w:r>
      <w:proofErr w:type="spellStart"/>
      <w:r w:rsidR="0053339C" w:rsidRPr="0053339C">
        <w:rPr>
          <w:rFonts w:ascii="Times New Roman" w:hAnsi="Times New Roman"/>
          <w:iCs/>
          <w:vertAlign w:val="subscript"/>
        </w:rPr>
        <w:t>FeS</w:t>
      </w:r>
      <w:proofErr w:type="spellEnd"/>
      <w:r w:rsidR="0053339C">
        <w:rPr>
          <w:rFonts w:ascii="Times New Roman" w:hAnsi="Times New Roman"/>
          <w:iCs/>
        </w:rPr>
        <w:t>, or</w:t>
      </w:r>
      <w:r w:rsidR="0053339C" w:rsidRPr="0053339C">
        <w:rPr>
          <w:rFonts w:ascii="Times New Roman" w:hAnsi="Times New Roman"/>
          <w:iCs/>
        </w:rPr>
        <w:t xml:space="preserve"> </w:t>
      </w:r>
      <w:r w:rsidR="0053339C" w:rsidRPr="0053339C">
        <w:rPr>
          <w:rFonts w:ascii="Times New Roman" w:hAnsi="Times New Roman"/>
          <w:i/>
        </w:rPr>
        <w:t>µ</w:t>
      </w:r>
      <w:r w:rsidR="0053339C" w:rsidRPr="0053339C">
        <w:rPr>
          <w:rFonts w:ascii="Times New Roman" w:hAnsi="Times New Roman"/>
          <w:iCs/>
          <w:vertAlign w:val="subscript"/>
        </w:rPr>
        <w:t>CaSO4</w:t>
      </w:r>
      <w:r w:rsidR="0053339C">
        <w:rPr>
          <w:rFonts w:ascii="Times New Roman" w:hAnsi="Times New Roman"/>
          <w:iCs/>
        </w:rPr>
        <w:t>” using step 2b</w:t>
      </w:r>
      <w:r w:rsidR="00247D65">
        <w:rPr>
          <w:rFonts w:ascii="Times New Roman" w:hAnsi="Times New Roman"/>
          <w:iCs/>
        </w:rPr>
        <w:t xml:space="preserve"> in that desc</w:t>
      </w:r>
      <w:r w:rsidR="008E2A36">
        <w:rPr>
          <w:rFonts w:ascii="Times New Roman" w:hAnsi="Times New Roman"/>
          <w:iCs/>
        </w:rPr>
        <w:t>r</w:t>
      </w:r>
      <w:r w:rsidR="00247D65">
        <w:rPr>
          <w:rFonts w:ascii="Times New Roman" w:hAnsi="Times New Roman"/>
          <w:iCs/>
        </w:rPr>
        <w:t>iption</w:t>
      </w:r>
      <w:r w:rsidR="0053339C">
        <w:rPr>
          <w:rFonts w:ascii="Times New Roman" w:hAnsi="Times New Roman"/>
          <w:iCs/>
        </w:rPr>
        <w:t>.</w:t>
      </w:r>
    </w:p>
    <w:p w14:paraId="626BD8D5" w14:textId="1B9B2C44" w:rsidR="009E11C9" w:rsidRPr="00F26F08" w:rsidRDefault="009C0DC1" w:rsidP="009E11C9">
      <w:pPr>
        <w:pStyle w:val="ListParagraph"/>
        <w:numPr>
          <w:ilvl w:val="0"/>
          <w:numId w:val="16"/>
        </w:numPr>
        <w:jc w:val="both"/>
        <w:rPr>
          <w:rFonts w:ascii="Times New Roman" w:hAnsi="Times New Roman"/>
        </w:rPr>
      </w:pPr>
      <w:r>
        <w:rPr>
          <w:rFonts w:ascii="Times New Roman" w:hAnsi="Times New Roman"/>
          <w:iCs/>
        </w:rPr>
        <w:t xml:space="preserve">The model is available on </w:t>
      </w:r>
      <w:proofErr w:type="spellStart"/>
      <w:r>
        <w:rPr>
          <w:rFonts w:ascii="Times New Roman" w:hAnsi="Times New Roman"/>
          <w:iCs/>
        </w:rPr>
        <w:t>github</w:t>
      </w:r>
      <w:proofErr w:type="spellEnd"/>
      <w:r>
        <w:rPr>
          <w:rFonts w:ascii="Times New Roman" w:hAnsi="Times New Roman"/>
          <w:iCs/>
        </w:rPr>
        <w:t xml:space="preserve"> (</w:t>
      </w:r>
      <w:hyperlink r:id="rId14" w:history="1">
        <w:r w:rsidR="009E11C9" w:rsidRPr="00A0702E">
          <w:rPr>
            <w:rStyle w:val="Hyperlink"/>
            <w:rFonts w:ascii="Times New Roman" w:hAnsi="Times New Roman"/>
            <w:iCs/>
          </w:rPr>
          <w:t>https://github.com/eryhughes/Pvsat</w:t>
        </w:r>
      </w:hyperlink>
      <w:r>
        <w:rPr>
          <w:rFonts w:ascii="Times New Roman" w:hAnsi="Times New Roman"/>
          <w:iCs/>
        </w:rPr>
        <w:t>).</w:t>
      </w:r>
    </w:p>
    <w:p w14:paraId="2AFDEDD1" w14:textId="77777777" w:rsidR="00F26F08" w:rsidRPr="009E11C9" w:rsidRDefault="00F26F08" w:rsidP="00F26F08">
      <w:pPr>
        <w:pStyle w:val="ListParagraph"/>
        <w:ind w:left="360" w:firstLine="0"/>
        <w:jc w:val="both"/>
        <w:rPr>
          <w:rFonts w:ascii="Times New Roman" w:hAnsi="Times New Roman"/>
        </w:rPr>
      </w:pPr>
    </w:p>
    <w:p w14:paraId="73E76770" w14:textId="77777777" w:rsidR="00F26F08" w:rsidRDefault="00F26F08" w:rsidP="00DB4881">
      <w:pPr>
        <w:keepNext/>
        <w:spacing w:after="100"/>
      </w:pPr>
      <w:r>
        <w:rPr>
          <w:rFonts w:ascii="Times New Roman" w:hAnsi="Times New Roman"/>
          <w:noProof/>
        </w:rPr>
        <w:drawing>
          <wp:inline distT="0" distB="0" distL="0" distR="0" wp14:anchorId="25024900" wp14:editId="718C41D3">
            <wp:extent cx="5731510" cy="3968115"/>
            <wp:effectExtent l="0" t="0" r="0" b="0"/>
            <wp:docPr id="24" name="Picture 2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Shape&#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968115"/>
                    </a:xfrm>
                    <a:prstGeom prst="rect">
                      <a:avLst/>
                    </a:prstGeom>
                  </pic:spPr>
                </pic:pic>
              </a:graphicData>
            </a:graphic>
          </wp:inline>
        </w:drawing>
      </w:r>
    </w:p>
    <w:p w14:paraId="37EB6E2B" w14:textId="23550038" w:rsidR="009E11C9" w:rsidRPr="00F26F08" w:rsidRDefault="00F26F08" w:rsidP="0022237F">
      <w:pPr>
        <w:pStyle w:val="Caption"/>
        <w:spacing w:after="0"/>
        <w:ind w:firstLine="0"/>
        <w:jc w:val="left"/>
        <w:rPr>
          <w:rFonts w:ascii="Times New Roman" w:hAnsi="Times New Roman"/>
          <w:i w:val="0"/>
          <w:iCs w:val="0"/>
          <w:color w:val="000000" w:themeColor="text1"/>
          <w:sz w:val="24"/>
          <w:szCs w:val="24"/>
        </w:rPr>
      </w:pPr>
      <w:bookmarkStart w:id="17" w:name="_Ref127358909"/>
      <w:r w:rsidRPr="00F26F08">
        <w:rPr>
          <w:color w:val="000000" w:themeColor="text1"/>
          <w:sz w:val="24"/>
          <w:szCs w:val="24"/>
        </w:rPr>
        <w:t xml:space="preserve">Figure </w:t>
      </w:r>
      <w:r>
        <w:rPr>
          <w:color w:val="000000" w:themeColor="text1"/>
          <w:sz w:val="24"/>
          <w:szCs w:val="24"/>
        </w:rPr>
        <w:t>S</w:t>
      </w:r>
      <w:r w:rsidRPr="00F26F08">
        <w:rPr>
          <w:color w:val="000000" w:themeColor="text1"/>
          <w:sz w:val="24"/>
          <w:szCs w:val="24"/>
        </w:rPr>
        <w:fldChar w:fldCharType="begin"/>
      </w:r>
      <w:r w:rsidRPr="00F26F08">
        <w:rPr>
          <w:color w:val="000000" w:themeColor="text1"/>
          <w:sz w:val="24"/>
          <w:szCs w:val="24"/>
        </w:rPr>
        <w:instrText xml:space="preserve"> SEQ Figure \* ARABIC </w:instrText>
      </w:r>
      <w:r w:rsidRPr="00F26F08">
        <w:rPr>
          <w:color w:val="000000" w:themeColor="text1"/>
          <w:sz w:val="24"/>
          <w:szCs w:val="24"/>
        </w:rPr>
        <w:fldChar w:fldCharType="separate"/>
      </w:r>
      <w:r w:rsidR="009E5695">
        <w:rPr>
          <w:noProof/>
          <w:color w:val="000000" w:themeColor="text1"/>
          <w:sz w:val="24"/>
          <w:szCs w:val="24"/>
        </w:rPr>
        <w:t>7</w:t>
      </w:r>
      <w:r w:rsidRPr="00F26F08">
        <w:rPr>
          <w:color w:val="000000" w:themeColor="text1"/>
          <w:sz w:val="24"/>
          <w:szCs w:val="24"/>
        </w:rPr>
        <w:fldChar w:fldCharType="end"/>
      </w:r>
      <w:bookmarkEnd w:id="17"/>
      <w:r>
        <w:rPr>
          <w:i w:val="0"/>
          <w:iCs w:val="0"/>
          <w:color w:val="000000" w:themeColor="text1"/>
          <w:sz w:val="24"/>
          <w:szCs w:val="24"/>
        </w:rPr>
        <w:t xml:space="preserve"> Flow chart describing the calculation of </w:t>
      </w:r>
      <w:proofErr w:type="spellStart"/>
      <w:r w:rsidRPr="00F26F08">
        <w:rPr>
          <w:color w:val="000000" w:themeColor="text1"/>
          <w:sz w:val="24"/>
          <w:szCs w:val="24"/>
        </w:rPr>
        <w:t>P</w:t>
      </w:r>
      <w:r w:rsidR="00DB4881">
        <w:rPr>
          <w:color w:val="000000" w:themeColor="text1"/>
          <w:sz w:val="24"/>
          <w:szCs w:val="24"/>
          <w:vertAlign w:val="superscript"/>
        </w:rPr>
        <w:t>v</w:t>
      </w:r>
      <w:r w:rsidRPr="00F26F08">
        <w:rPr>
          <w:i w:val="0"/>
          <w:iCs w:val="0"/>
          <w:color w:val="000000" w:themeColor="text1"/>
          <w:sz w:val="24"/>
          <w:szCs w:val="24"/>
          <w:vertAlign w:val="subscript"/>
        </w:rPr>
        <w:t>sat</w:t>
      </w:r>
      <w:proofErr w:type="spellEnd"/>
      <w:r>
        <w:rPr>
          <w:i w:val="0"/>
          <w:iCs w:val="0"/>
          <w:color w:val="000000" w:themeColor="text1"/>
          <w:sz w:val="24"/>
          <w:szCs w:val="24"/>
        </w:rPr>
        <w:t>.</w:t>
      </w:r>
    </w:p>
    <w:p w14:paraId="3B20EB2C" w14:textId="72B963E4" w:rsidR="00C62730" w:rsidRDefault="00C62730">
      <w:pPr>
        <w:rPr>
          <w:highlight w:val="yellow"/>
        </w:rPr>
      </w:pPr>
    </w:p>
    <w:p w14:paraId="4D3A1A9D" w14:textId="77777777" w:rsidR="00D61BC9" w:rsidRDefault="00D61BC9">
      <w:pPr>
        <w:rPr>
          <w:rFonts w:asciiTheme="majorBidi" w:eastAsiaTheme="majorEastAsia" w:hAnsiTheme="majorBidi" w:cs="Times New Roman"/>
          <w:b/>
          <w:color w:val="000000" w:themeColor="text1"/>
          <w:szCs w:val="32"/>
          <w:highlight w:val="yellow"/>
        </w:rPr>
      </w:pPr>
    </w:p>
    <w:p w14:paraId="7FF33E89" w14:textId="7AA1FE7A" w:rsidR="009E11C9" w:rsidRPr="00F26F08" w:rsidRDefault="00DF770F">
      <w:pPr>
        <w:pStyle w:val="Heading1"/>
      </w:pPr>
      <w:r w:rsidRPr="00F26F08">
        <w:t>Comparison to other models</w:t>
      </w:r>
    </w:p>
    <w:p w14:paraId="5EB57CE5" w14:textId="36761596" w:rsidR="00F26F08" w:rsidRDefault="00CF760E" w:rsidP="00147AF9">
      <w:pPr>
        <w:spacing w:after="243"/>
        <w:ind w:firstLine="432"/>
        <w:jc w:val="both"/>
        <w:rPr>
          <w:rFonts w:ascii="Times New Roman" w:hAnsi="Times New Roman" w:cs="Times New Roman"/>
        </w:rPr>
      </w:pPr>
      <w:r w:rsidRPr="004A18D8">
        <w:rPr>
          <w:rFonts w:ascii="Times New Roman" w:hAnsi="Times New Roman" w:cs="Times New Roman"/>
        </w:rPr>
        <w:t>We compare</w:t>
      </w:r>
      <w:r>
        <w:rPr>
          <w:rFonts w:ascii="Times New Roman" w:hAnsi="Times New Roman" w:cs="Times New Roman"/>
        </w:rPr>
        <w:t xml:space="preserve"> our calculated </w:t>
      </w:r>
      <w:proofErr w:type="spellStart"/>
      <w:r w:rsidRPr="004A18D8">
        <w:rPr>
          <w:rFonts w:ascii="Times New Roman" w:hAnsi="Times New Roman" w:cs="Times New Roman"/>
          <w:i/>
          <w:iCs/>
        </w:rPr>
        <w:t>P</w:t>
      </w:r>
      <w:r w:rsidRPr="004A18D8">
        <w:rPr>
          <w:rFonts w:ascii="Times New Roman" w:hAnsi="Times New Roman" w:cs="Times New Roman"/>
          <w:i/>
          <w:iCs/>
          <w:vertAlign w:val="superscript"/>
        </w:rPr>
        <w:t>v</w:t>
      </w:r>
      <w:r w:rsidRPr="004A18D8">
        <w:rPr>
          <w:rFonts w:ascii="Times New Roman" w:hAnsi="Times New Roman" w:cs="Times New Roman"/>
          <w:vertAlign w:val="subscript"/>
        </w:rPr>
        <w:t>sat</w:t>
      </w:r>
      <w:proofErr w:type="spellEnd"/>
      <w:r>
        <w:rPr>
          <w:rFonts w:ascii="Times New Roman" w:hAnsi="Times New Roman" w:cs="Times New Roman"/>
        </w:rPr>
        <w:t xml:space="preserve"> assuming only oxidised C-O-H species in the melt and vapor (i.e., case 1 – no </w:t>
      </w:r>
      <w:r w:rsidR="008E2A36">
        <w:rPr>
          <w:rFonts w:ascii="Times New Roman" w:hAnsi="Times New Roman" w:cs="Times New Roman"/>
        </w:rPr>
        <w:t>S</w:t>
      </w:r>
      <w:r>
        <w:rPr>
          <w:rFonts w:ascii="Times New Roman" w:hAnsi="Times New Roman" w:cs="Times New Roman"/>
        </w:rPr>
        <w:t xml:space="preserve">) to </w:t>
      </w:r>
      <w:r w:rsidR="0080395E">
        <w:rPr>
          <w:rFonts w:ascii="Times New Roman" w:hAnsi="Times New Roman" w:cs="Times New Roman"/>
        </w:rPr>
        <w:t>several available</w:t>
      </w:r>
      <w:r>
        <w:rPr>
          <w:rFonts w:ascii="Times New Roman" w:hAnsi="Times New Roman" w:cs="Times New Roman"/>
        </w:rPr>
        <w:t xml:space="preserve"> </w:t>
      </w:r>
      <w:proofErr w:type="spellStart"/>
      <w:r w:rsidRPr="000B6300">
        <w:rPr>
          <w:rFonts w:ascii="Times New Roman" w:hAnsi="Times New Roman" w:cs="Times New Roman"/>
          <w:i/>
          <w:iCs/>
        </w:rPr>
        <w:t>P</w:t>
      </w:r>
      <w:r w:rsidRPr="000B6300">
        <w:rPr>
          <w:rFonts w:ascii="Times New Roman" w:hAnsi="Times New Roman" w:cs="Times New Roman"/>
          <w:i/>
          <w:iCs/>
          <w:vertAlign w:val="superscript"/>
        </w:rPr>
        <w:t>v</w:t>
      </w:r>
      <w:r w:rsidRPr="000B6300">
        <w:rPr>
          <w:rFonts w:ascii="Times New Roman" w:hAnsi="Times New Roman" w:cs="Times New Roman"/>
          <w:vertAlign w:val="subscript"/>
        </w:rPr>
        <w:t>sat</w:t>
      </w:r>
      <w:proofErr w:type="spellEnd"/>
      <w:r>
        <w:rPr>
          <w:rFonts w:ascii="Times New Roman" w:hAnsi="Times New Roman" w:cs="Times New Roman"/>
        </w:rPr>
        <w:t xml:space="preserve"> calculators. All calculations are at 1200 </w:t>
      </w:r>
      <w:r w:rsidRPr="00C203DE">
        <w:rPr>
          <w:rFonts w:ascii="Times New Roman" w:hAnsi="Times New Roman" w:cs="Times New Roman"/>
        </w:rPr>
        <w:t>°</w:t>
      </w:r>
      <w:r>
        <w:rPr>
          <w:rFonts w:ascii="Times New Roman" w:hAnsi="Times New Roman" w:cs="Times New Roman"/>
        </w:rPr>
        <w:t xml:space="preserve">C. </w:t>
      </w:r>
      <w:r w:rsidR="0080395E">
        <w:rPr>
          <w:rFonts w:ascii="Times New Roman" w:hAnsi="Times New Roman" w:cs="Times New Roman"/>
        </w:rPr>
        <w:t xml:space="preserve">For </w:t>
      </w:r>
      <w:proofErr w:type="spellStart"/>
      <w:r>
        <w:rPr>
          <w:rFonts w:ascii="Times New Roman" w:hAnsi="Times New Roman" w:cs="Times New Roman"/>
        </w:rPr>
        <w:t>VolatileCalc</w:t>
      </w:r>
      <w:proofErr w:type="spellEnd"/>
      <w:r w:rsidR="00DB4881">
        <w:rPr>
          <w:rFonts w:ascii="Times New Roman" w:hAnsi="Times New Roman" w:cs="Times New Roman"/>
        </w:rPr>
        <w:t xml:space="preserve"> </w:t>
      </w:r>
      <w:r w:rsidR="00DB4881">
        <w:rPr>
          <w:rFonts w:ascii="Times New Roman" w:hAnsi="Times New Roman" w:cs="Times New Roman"/>
        </w:rPr>
        <w:fldChar w:fldCharType="begin" w:fldLock="1"/>
      </w:r>
      <w:r w:rsidR="00DB4881">
        <w:rPr>
          <w:rFonts w:ascii="Times New Roman" w:hAnsi="Times New Roman" w:cs="Times New Roman"/>
        </w:rPr>
        <w:instrText xml:space="preserve">ADDIN CSL_CITATION {"citationItems":[{"id":"ITEM-1","itemData":{"DOI":"10.1016/S0098-3004(01)00081-4","ISSN":"00983004","abstract":"We present solution models for the rhyolite–H2O–CO2 and basalt–H2O–CO2 systems at magmatic temperatures and pressures below </w:instrText>
      </w:r>
      <w:r w:rsidR="00DB4881">
        <w:rPr>
          <w:rFonts w:ascii="Cambria Math" w:hAnsi="Cambria Math" w:cs="Cambria Math"/>
        </w:rPr>
        <w:instrText>∼</w:instrText>
      </w:r>
      <w:r w:rsidR="00DB4881">
        <w:rPr>
          <w:rFonts w:ascii="Times New Roman" w:hAnsi="Times New Roman" w:cs="Times New Roman"/>
        </w:rPr>
        <w:instrText>5000bar. The models are coded as macros written in Visual Basic for Applications, for use within Microsoft® Excel (Office’98 and 2000). The series of macros, entitled VolatileCalc, can calculate the following: (1) Saturation pressures for silicate melt of known dissolved H2O and CO2 concentrations and the corresponding equilibrium vapor composition; (2) open- and closed-system degassing paths (melt and vapor composition) for depressurizing rhyolitic and basaltic melts; (3) isobaric solubility curves for rhyolitic and basaltic melts; (4) isoplethic solubility curves (constant vapor composition) for rhyolitic and basaltic melts; (5) polybaric solubility curves for the two end members and (6) end member fugacities of H2O and CO2 vapors at magmatic temperatures. The basalt–H2O–CO2 macros in VolatileCalc are capable of calculating melt–vapor solubility over a range of silicate-melt compositions by using the relationships provided by Dixon (American Mineralogist 82 (1997) 368). The output agrees well with the published solution models and experimental data for silicate melt–vapor systems for pressures below 5000bar.","author":[{"dropping-particle":"","family":"Newman","given":"S.","non-dropping-particle":"","parse-names":false,"suffix":""},{"dropping-particle":"","family":"Lowenstern","given":"J.B.","non-dropping-particle":"","parse-names":false,"suffix":""}],"container-title":"Computers &amp; Geosciences","id":"ITEM-1","issue":"5","issued":{"date-parts":[["2002","6"]]},"page":"597-604","title":"VolatileCalc: a silicate melt–H2O–CO2 solution model written in Visual Basic for excel","type":"article-journal","volume":"28"},"uris":["http://www.mendeley.com/documents/?uuid=f1cbb4e9-515c-455c-a05e-a8209e4b24ac"]}],"mendeley":{"formattedCitation":"(Newman and Lowenstern, 2002)","plainTextFormattedCitation":"(Newman and Lowenstern, 2002)","previouslyFormattedCitation":"(Newman and Lowenstern, 2002)"},"properties":{"noteIndex":0},"schema":"https://github.com/citation-style-language/schema/raw/master/csl-citation.json"}</w:instrText>
      </w:r>
      <w:r w:rsidR="00DB4881">
        <w:rPr>
          <w:rFonts w:ascii="Times New Roman" w:hAnsi="Times New Roman" w:cs="Times New Roman"/>
        </w:rPr>
        <w:fldChar w:fldCharType="separate"/>
      </w:r>
      <w:r w:rsidR="00DB4881" w:rsidRPr="00DB4881">
        <w:rPr>
          <w:rFonts w:ascii="Times New Roman" w:hAnsi="Times New Roman" w:cs="Times New Roman"/>
          <w:noProof/>
        </w:rPr>
        <w:t>(Newman and Lowenstern, 2002)</w:t>
      </w:r>
      <w:r w:rsidR="00DB4881">
        <w:rPr>
          <w:rFonts w:ascii="Times New Roman" w:hAnsi="Times New Roman" w:cs="Times New Roman"/>
        </w:rPr>
        <w:fldChar w:fldCharType="end"/>
      </w:r>
      <w:r w:rsidR="0080395E">
        <w:rPr>
          <w:rFonts w:ascii="Times New Roman" w:hAnsi="Times New Roman" w:cs="Times New Roman"/>
        </w:rPr>
        <w:t>, we set SiO</w:t>
      </w:r>
      <w:r w:rsidR="0080395E" w:rsidRPr="004A18D8">
        <w:rPr>
          <w:rFonts w:ascii="Times New Roman" w:hAnsi="Times New Roman" w:cs="Times New Roman"/>
          <w:vertAlign w:val="subscript"/>
        </w:rPr>
        <w:t>2</w:t>
      </w:r>
      <w:r>
        <w:rPr>
          <w:rFonts w:ascii="Times New Roman" w:hAnsi="Times New Roman" w:cs="Times New Roman"/>
        </w:rPr>
        <w:t xml:space="preserve"> </w:t>
      </w:r>
      <w:r w:rsidR="0080395E">
        <w:rPr>
          <w:rFonts w:ascii="Times New Roman" w:hAnsi="Times New Roman" w:cs="Times New Roman"/>
        </w:rPr>
        <w:t>to</w:t>
      </w:r>
      <w:r>
        <w:rPr>
          <w:rFonts w:ascii="Times New Roman" w:hAnsi="Times New Roman" w:cs="Times New Roman"/>
        </w:rPr>
        <w:t xml:space="preserve"> 49 </w:t>
      </w:r>
      <w:proofErr w:type="spellStart"/>
      <w:r>
        <w:rPr>
          <w:rFonts w:ascii="Times New Roman" w:hAnsi="Times New Roman" w:cs="Times New Roman"/>
        </w:rPr>
        <w:t>wt</w:t>
      </w:r>
      <w:proofErr w:type="spellEnd"/>
      <w:r>
        <w:rPr>
          <w:rFonts w:ascii="Times New Roman" w:hAnsi="Times New Roman" w:cs="Times New Roman"/>
        </w:rPr>
        <w:t xml:space="preserve">%. </w:t>
      </w:r>
      <w:r w:rsidR="0080395E">
        <w:rPr>
          <w:rFonts w:ascii="Times New Roman" w:hAnsi="Times New Roman" w:cs="Times New Roman"/>
        </w:rPr>
        <w:t xml:space="preserve">For </w:t>
      </w:r>
      <w:proofErr w:type="spellStart"/>
      <w:r>
        <w:rPr>
          <w:rFonts w:ascii="Times New Roman" w:hAnsi="Times New Roman" w:cs="Times New Roman"/>
        </w:rPr>
        <w:t>MagmaSat</w:t>
      </w:r>
      <w:proofErr w:type="spellEnd"/>
      <w:r w:rsidR="00DB4881">
        <w:rPr>
          <w:rFonts w:ascii="Times New Roman" w:hAnsi="Times New Roman" w:cs="Times New Roman"/>
        </w:rPr>
        <w:t xml:space="preserve"> </w:t>
      </w:r>
      <w:r w:rsidR="00DB4881">
        <w:rPr>
          <w:rFonts w:ascii="Times New Roman" w:hAnsi="Times New Roman" w:cs="Times New Roman"/>
        </w:rPr>
        <w:fldChar w:fldCharType="begin" w:fldLock="1"/>
      </w:r>
      <w:r w:rsidR="00DB4881">
        <w:rPr>
          <w:rFonts w:ascii="Times New Roman" w:hAnsi="Times New Roman" w:cs="Times New Roman"/>
        </w:rPr>
        <w:instrText>ADDIN CSL_CITATION {"citationItems":[{"id":"ITEM-1","itemData":{"DOI":"10.1007/s00410-015-1141-8","ISSN":"0010-7999","author":[{"dropping-particle":"","family":"Ghiorso","given":"Mark S.","non-dropping-particle":"","parse-names":false,"suffix":""},{"dropping-particle":"","family":"Gualda","given":"G.A.R.","non-dropping-particle":"","parse-names":false,"suffix":""}],"container-title":"Contributions to Mineralogy and Petrology","id":"ITEM-1","issue":"6","issued":{"date-parts":[["2015","6","5"]]},"page":"53","publisher":"Springer Berlin Heidelberg","title":"An H2O–CO2 mixed fluid saturation model compatible with rhyolite-MELTS","type":"article-journal","volume":"169"},"uris":["http://www.mendeley.com/documents/?uuid=4a51f65a-45a5-356c-90a6-eb3e75ed9f66"]}],"mendeley":{"formattedCitation":"(Ghiorso and Gualda, 2015)","plainTextFormattedCitation":"(Ghiorso and Gualda, 2015)","previouslyFormattedCitation":"(Ghiorso and Gualda, 2015)"},"properties":{"noteIndex":0},"schema":"https://github.com/citation-style-language/schema/raw/master/csl-citation.json"}</w:instrText>
      </w:r>
      <w:r w:rsidR="00DB4881">
        <w:rPr>
          <w:rFonts w:ascii="Times New Roman" w:hAnsi="Times New Roman" w:cs="Times New Roman"/>
        </w:rPr>
        <w:fldChar w:fldCharType="separate"/>
      </w:r>
      <w:r w:rsidR="00DB4881" w:rsidRPr="00DB4881">
        <w:rPr>
          <w:rFonts w:ascii="Times New Roman" w:hAnsi="Times New Roman" w:cs="Times New Roman"/>
          <w:noProof/>
        </w:rPr>
        <w:t>(Ghiorso and Gualda, 2015)</w:t>
      </w:r>
      <w:r w:rsidR="00DB4881">
        <w:rPr>
          <w:rFonts w:ascii="Times New Roman" w:hAnsi="Times New Roman" w:cs="Times New Roman"/>
        </w:rPr>
        <w:fldChar w:fldCharType="end"/>
      </w:r>
      <w:r w:rsidR="0080395E">
        <w:rPr>
          <w:rFonts w:ascii="Times New Roman" w:hAnsi="Times New Roman" w:cs="Times New Roman"/>
        </w:rPr>
        <w:t xml:space="preserve"> and </w:t>
      </w:r>
      <w:proofErr w:type="spellStart"/>
      <w:r>
        <w:rPr>
          <w:rFonts w:ascii="Times New Roman" w:hAnsi="Times New Roman" w:cs="Times New Roman"/>
        </w:rPr>
        <w:t>MafiCH</w:t>
      </w:r>
      <w:proofErr w:type="spellEnd"/>
      <w:r w:rsidR="00DB4881">
        <w:rPr>
          <w:rFonts w:ascii="Times New Roman" w:hAnsi="Times New Roman" w:cs="Times New Roman"/>
        </w:rPr>
        <w:t xml:space="preserve"> </w:t>
      </w:r>
      <w:r w:rsidR="00DB4881">
        <w:rPr>
          <w:rFonts w:ascii="Times New Roman" w:hAnsi="Times New Roman" w:cs="Times New Roman"/>
        </w:rPr>
        <w:fldChar w:fldCharType="begin" w:fldLock="1"/>
      </w:r>
      <w:r w:rsidR="00B43D5A">
        <w:rPr>
          <w:rFonts w:ascii="Times New Roman" w:hAnsi="Times New Roman" w:cs="Times New Roman"/>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2022)","plainTextFormattedCitation":"(Allison et al., 2022)","previouslyFormattedCitation":"(Allison et al., 2022)"},"properties":{"noteIndex":0},"schema":"https://github.com/citation-style-language/schema/raw/master/csl-citation.json"}</w:instrText>
      </w:r>
      <w:r w:rsidR="00DB4881">
        <w:rPr>
          <w:rFonts w:ascii="Times New Roman" w:hAnsi="Times New Roman" w:cs="Times New Roman"/>
        </w:rPr>
        <w:fldChar w:fldCharType="separate"/>
      </w:r>
      <w:r w:rsidR="00DB4881" w:rsidRPr="00DB4881">
        <w:rPr>
          <w:rFonts w:ascii="Times New Roman" w:hAnsi="Times New Roman" w:cs="Times New Roman"/>
          <w:noProof/>
        </w:rPr>
        <w:t>(Allison et al., 2022)</w:t>
      </w:r>
      <w:r w:rsidR="00DB4881">
        <w:rPr>
          <w:rFonts w:ascii="Times New Roman" w:hAnsi="Times New Roman" w:cs="Times New Roman"/>
        </w:rPr>
        <w:fldChar w:fldCharType="end"/>
      </w:r>
      <w:r>
        <w:rPr>
          <w:rFonts w:ascii="Times New Roman" w:hAnsi="Times New Roman" w:cs="Times New Roman"/>
        </w:rPr>
        <w:t xml:space="preserve">, </w:t>
      </w:r>
      <w:r w:rsidR="0080395E">
        <w:rPr>
          <w:rFonts w:ascii="Times New Roman" w:hAnsi="Times New Roman" w:cs="Times New Roman"/>
        </w:rPr>
        <w:t xml:space="preserve">we </w:t>
      </w:r>
      <w:r>
        <w:rPr>
          <w:rFonts w:ascii="Times New Roman" w:hAnsi="Times New Roman" w:cs="Times New Roman"/>
        </w:rPr>
        <w:t xml:space="preserve">use the Hawaiian </w:t>
      </w:r>
      <w:r w:rsidR="00F26F08">
        <w:rPr>
          <w:rFonts w:ascii="Times New Roman" w:hAnsi="Times New Roman" w:cs="Times New Roman"/>
        </w:rPr>
        <w:t>tholeiite</w:t>
      </w:r>
      <w:r>
        <w:rPr>
          <w:rFonts w:ascii="Times New Roman" w:hAnsi="Times New Roman" w:cs="Times New Roman"/>
        </w:rPr>
        <w:t xml:space="preserve"> composition in </w:t>
      </w:r>
      <w:r w:rsidRPr="00CF760E">
        <w:rPr>
          <w:rFonts w:ascii="Times New Roman" w:hAnsi="Times New Roman" w:cs="Times New Roman"/>
        </w:rPr>
        <w:fldChar w:fldCharType="begin"/>
      </w:r>
      <w:r w:rsidRPr="00CF760E">
        <w:rPr>
          <w:rFonts w:ascii="Times New Roman" w:hAnsi="Times New Roman" w:cs="Times New Roman"/>
        </w:rPr>
        <w:instrText xml:space="preserve"> REF _Ref76325339 \h </w:instrText>
      </w:r>
      <w:r>
        <w:rPr>
          <w:rFonts w:ascii="Times New Roman" w:hAnsi="Times New Roman" w:cs="Times New Roman"/>
        </w:rPr>
        <w:instrText xml:space="preserve"> \* MERGEFORMAT </w:instrText>
      </w:r>
      <w:r w:rsidRPr="00CF760E">
        <w:rPr>
          <w:rFonts w:ascii="Times New Roman" w:hAnsi="Times New Roman" w:cs="Times New Roman"/>
        </w:rPr>
      </w:r>
      <w:r w:rsidRPr="00CF760E">
        <w:rPr>
          <w:rFonts w:ascii="Times New Roman" w:hAnsi="Times New Roman" w:cs="Times New Roman"/>
        </w:rPr>
        <w:fldChar w:fldCharType="separate"/>
      </w:r>
      <w:r w:rsidRPr="004A18D8">
        <w:rPr>
          <w:rFonts w:ascii="Times New Roman" w:hAnsi="Times New Roman" w:cs="Times New Roman"/>
          <w:color w:val="000000" w:themeColor="text1"/>
        </w:rPr>
        <w:t>Table S</w:t>
      </w:r>
      <w:r w:rsidRPr="004A18D8">
        <w:rPr>
          <w:rFonts w:ascii="Times New Roman" w:hAnsi="Times New Roman" w:cs="Times New Roman"/>
          <w:noProof/>
          <w:color w:val="000000" w:themeColor="text1"/>
        </w:rPr>
        <w:t>1</w:t>
      </w:r>
      <w:r w:rsidRPr="00CF760E">
        <w:rPr>
          <w:rFonts w:ascii="Times New Roman" w:hAnsi="Times New Roman" w:cs="Times New Roman"/>
        </w:rPr>
        <w:fldChar w:fldCharType="end"/>
      </w:r>
      <w:r>
        <w:rPr>
          <w:rFonts w:ascii="Times New Roman" w:hAnsi="Times New Roman" w:cs="Times New Roman"/>
        </w:rPr>
        <w:t xml:space="preserve">. </w:t>
      </w:r>
      <w:proofErr w:type="spellStart"/>
      <w:r w:rsidR="000E0AC9" w:rsidRPr="000B6300">
        <w:rPr>
          <w:rFonts w:ascii="Times New Roman" w:hAnsi="Times New Roman" w:cs="Times New Roman"/>
          <w:i/>
          <w:iCs/>
        </w:rPr>
        <w:t>P</w:t>
      </w:r>
      <w:r w:rsidR="000E0AC9" w:rsidRPr="000B6300">
        <w:rPr>
          <w:rFonts w:ascii="Times New Roman" w:hAnsi="Times New Roman" w:cs="Times New Roman"/>
          <w:i/>
          <w:iCs/>
          <w:vertAlign w:val="superscript"/>
        </w:rPr>
        <w:t>v</w:t>
      </w:r>
      <w:r w:rsidR="000E0AC9" w:rsidRPr="000B6300">
        <w:rPr>
          <w:rFonts w:ascii="Times New Roman" w:hAnsi="Times New Roman" w:cs="Times New Roman"/>
          <w:vertAlign w:val="subscript"/>
        </w:rPr>
        <w:t>sat</w:t>
      </w:r>
      <w:proofErr w:type="spellEnd"/>
      <w:r w:rsidR="000E0AC9">
        <w:rPr>
          <w:rFonts w:ascii="Times New Roman" w:hAnsi="Times New Roman" w:cs="Times New Roman"/>
        </w:rPr>
        <w:t xml:space="preserve"> was calculated for </w:t>
      </w:r>
      <w:r w:rsidR="00E74296">
        <w:rPr>
          <w:rFonts w:ascii="Times New Roman" w:hAnsi="Times New Roman" w:cs="Times New Roman"/>
        </w:rPr>
        <w:t>0.01</w:t>
      </w:r>
      <w:r w:rsidR="00F5353B">
        <w:rPr>
          <w:rFonts w:ascii="Times New Roman" w:hAnsi="Times New Roman" w:cs="Times New Roman"/>
        </w:rPr>
        <w:t xml:space="preserve">, </w:t>
      </w:r>
      <w:r w:rsidR="000E0AC9">
        <w:rPr>
          <w:rFonts w:ascii="Times New Roman" w:hAnsi="Times New Roman" w:cs="Times New Roman"/>
        </w:rPr>
        <w:t xml:space="preserve">1, 2, 3, 4, and 5 </w:t>
      </w:r>
      <w:proofErr w:type="spellStart"/>
      <w:r w:rsidR="000E0AC9">
        <w:rPr>
          <w:rFonts w:ascii="Times New Roman" w:hAnsi="Times New Roman" w:cs="Times New Roman"/>
        </w:rPr>
        <w:t>wt</w:t>
      </w:r>
      <w:proofErr w:type="spellEnd"/>
      <w:r w:rsidR="000E0AC9">
        <w:rPr>
          <w:rFonts w:ascii="Times New Roman" w:hAnsi="Times New Roman" w:cs="Times New Roman"/>
        </w:rPr>
        <w:t>% H</w:t>
      </w:r>
      <w:r w:rsidR="000E0AC9" w:rsidRPr="004A18D8">
        <w:rPr>
          <w:rFonts w:ascii="Times New Roman" w:hAnsi="Times New Roman" w:cs="Times New Roman"/>
          <w:vertAlign w:val="subscript"/>
        </w:rPr>
        <w:t>2</w:t>
      </w:r>
      <w:r w:rsidR="000E0AC9">
        <w:rPr>
          <w:rFonts w:ascii="Times New Roman" w:hAnsi="Times New Roman" w:cs="Times New Roman"/>
        </w:rPr>
        <w:t>O with 1000 ppm CO</w:t>
      </w:r>
      <w:r w:rsidR="000E0AC9" w:rsidRPr="000B6300">
        <w:rPr>
          <w:rFonts w:ascii="Times New Roman" w:hAnsi="Times New Roman" w:cs="Times New Roman"/>
          <w:vertAlign w:val="subscript"/>
        </w:rPr>
        <w:t>2</w:t>
      </w:r>
      <w:r w:rsidR="000E0AC9">
        <w:rPr>
          <w:rFonts w:ascii="Times New Roman" w:hAnsi="Times New Roman" w:cs="Times New Roman"/>
        </w:rPr>
        <w:t xml:space="preserve"> (</w:t>
      </w:r>
      <w:r w:rsidR="000E0AC9" w:rsidRPr="000E0AC9">
        <w:rPr>
          <w:rFonts w:ascii="Times New Roman" w:hAnsi="Times New Roman" w:cs="Times New Roman"/>
        </w:rPr>
        <w:fldChar w:fldCharType="begin"/>
      </w:r>
      <w:r w:rsidR="000E0AC9" w:rsidRPr="000E0AC9">
        <w:rPr>
          <w:rFonts w:ascii="Times New Roman" w:hAnsi="Times New Roman" w:cs="Times New Roman"/>
        </w:rPr>
        <w:instrText xml:space="preserve"> REF _Ref118661942 \h  \* MERGEFORMAT </w:instrText>
      </w:r>
      <w:r w:rsidR="000E0AC9" w:rsidRPr="000E0AC9">
        <w:rPr>
          <w:rFonts w:ascii="Times New Roman" w:hAnsi="Times New Roman" w:cs="Times New Roman"/>
        </w:rPr>
      </w:r>
      <w:r w:rsidR="000E0AC9" w:rsidRPr="000E0AC9">
        <w:rPr>
          <w:rFonts w:ascii="Times New Roman" w:hAnsi="Times New Roman" w:cs="Times New Roman"/>
        </w:rPr>
        <w:fldChar w:fldCharType="separate"/>
      </w:r>
      <w:r w:rsidR="000E0AC9" w:rsidRPr="004A18D8">
        <w:rPr>
          <w:rFonts w:ascii="Times New Roman" w:hAnsi="Times New Roman" w:cs="Times New Roman"/>
          <w:color w:val="000000" w:themeColor="text1"/>
        </w:rPr>
        <w:t>Figure S</w:t>
      </w:r>
      <w:r w:rsidR="000E0AC9" w:rsidRPr="004A18D8">
        <w:rPr>
          <w:rFonts w:ascii="Times New Roman" w:hAnsi="Times New Roman" w:cs="Times New Roman"/>
          <w:noProof/>
          <w:color w:val="000000" w:themeColor="text1"/>
        </w:rPr>
        <w:t>7</w:t>
      </w:r>
      <w:r w:rsidR="000E0AC9" w:rsidRPr="000E0AC9">
        <w:rPr>
          <w:rFonts w:ascii="Times New Roman" w:hAnsi="Times New Roman" w:cs="Times New Roman"/>
        </w:rPr>
        <w:fldChar w:fldCharType="end"/>
      </w:r>
      <w:r w:rsidR="000E0AC9">
        <w:rPr>
          <w:rFonts w:ascii="Times New Roman" w:hAnsi="Times New Roman" w:cs="Times New Roman"/>
        </w:rPr>
        <w:t xml:space="preserve">) and </w:t>
      </w:r>
      <w:r w:rsidR="00F5353B">
        <w:rPr>
          <w:rFonts w:ascii="Times New Roman" w:hAnsi="Times New Roman" w:cs="Times New Roman"/>
        </w:rPr>
        <w:t xml:space="preserve">1, </w:t>
      </w:r>
      <w:r w:rsidR="000E0AC9">
        <w:rPr>
          <w:rFonts w:ascii="Times New Roman" w:hAnsi="Times New Roman" w:cs="Times New Roman"/>
        </w:rPr>
        <w:t>500, 1000, 1500, and 2000 ppm CO</w:t>
      </w:r>
      <w:r w:rsidR="000E0AC9" w:rsidRPr="000B6300">
        <w:rPr>
          <w:rFonts w:ascii="Times New Roman" w:hAnsi="Times New Roman" w:cs="Times New Roman"/>
          <w:vertAlign w:val="subscript"/>
        </w:rPr>
        <w:t>2</w:t>
      </w:r>
      <w:r w:rsidR="000E0AC9">
        <w:rPr>
          <w:rFonts w:ascii="Times New Roman" w:hAnsi="Times New Roman" w:cs="Times New Roman"/>
        </w:rPr>
        <w:t xml:space="preserve"> and 3 </w:t>
      </w:r>
      <w:proofErr w:type="spellStart"/>
      <w:r w:rsidR="000E0AC9">
        <w:rPr>
          <w:rFonts w:ascii="Times New Roman" w:hAnsi="Times New Roman" w:cs="Times New Roman"/>
        </w:rPr>
        <w:t>wt</w:t>
      </w:r>
      <w:proofErr w:type="spellEnd"/>
      <w:r w:rsidR="000E0AC9">
        <w:rPr>
          <w:rFonts w:ascii="Times New Roman" w:hAnsi="Times New Roman" w:cs="Times New Roman"/>
        </w:rPr>
        <w:t>% H</w:t>
      </w:r>
      <w:r w:rsidR="000E0AC9" w:rsidRPr="000B6300">
        <w:rPr>
          <w:rFonts w:ascii="Times New Roman" w:hAnsi="Times New Roman" w:cs="Times New Roman"/>
          <w:vertAlign w:val="subscript"/>
        </w:rPr>
        <w:t>2</w:t>
      </w:r>
      <w:r w:rsidR="000E0AC9">
        <w:rPr>
          <w:rFonts w:ascii="Times New Roman" w:hAnsi="Times New Roman" w:cs="Times New Roman"/>
        </w:rPr>
        <w:t>O (</w:t>
      </w:r>
      <w:r w:rsidR="000E0AC9" w:rsidRPr="000E0AC9">
        <w:rPr>
          <w:rFonts w:ascii="Times New Roman" w:hAnsi="Times New Roman" w:cs="Times New Roman"/>
        </w:rPr>
        <w:fldChar w:fldCharType="begin"/>
      </w:r>
      <w:r w:rsidR="000E0AC9" w:rsidRPr="000E0AC9">
        <w:rPr>
          <w:rFonts w:ascii="Times New Roman" w:hAnsi="Times New Roman" w:cs="Times New Roman"/>
        </w:rPr>
        <w:instrText xml:space="preserve"> REF _Ref118661943 \h  \* MERGEFORMAT </w:instrText>
      </w:r>
      <w:r w:rsidR="000E0AC9" w:rsidRPr="000E0AC9">
        <w:rPr>
          <w:rFonts w:ascii="Times New Roman" w:hAnsi="Times New Roman" w:cs="Times New Roman"/>
        </w:rPr>
      </w:r>
      <w:r w:rsidR="000E0AC9" w:rsidRPr="000E0AC9">
        <w:rPr>
          <w:rFonts w:ascii="Times New Roman" w:hAnsi="Times New Roman" w:cs="Times New Roman"/>
        </w:rPr>
        <w:fldChar w:fldCharType="separate"/>
      </w:r>
      <w:r w:rsidR="000E0AC9" w:rsidRPr="000B6300">
        <w:rPr>
          <w:rFonts w:ascii="Times New Roman" w:hAnsi="Times New Roman" w:cs="Times New Roman"/>
          <w:color w:val="000000" w:themeColor="text1"/>
        </w:rPr>
        <w:t>Figure S</w:t>
      </w:r>
      <w:r w:rsidR="000E0AC9" w:rsidRPr="000B6300">
        <w:rPr>
          <w:rFonts w:ascii="Times New Roman" w:hAnsi="Times New Roman" w:cs="Times New Roman"/>
          <w:noProof/>
          <w:color w:val="000000" w:themeColor="text1"/>
        </w:rPr>
        <w:t>8</w:t>
      </w:r>
      <w:r w:rsidR="000E0AC9" w:rsidRPr="000E0AC9">
        <w:rPr>
          <w:rFonts w:ascii="Times New Roman" w:hAnsi="Times New Roman" w:cs="Times New Roman"/>
        </w:rPr>
        <w:fldChar w:fldCharType="end"/>
      </w:r>
      <w:r w:rsidR="000E0AC9">
        <w:rPr>
          <w:rFonts w:ascii="Times New Roman" w:hAnsi="Times New Roman" w:cs="Times New Roman"/>
        </w:rPr>
        <w:t>).</w:t>
      </w:r>
      <w:r w:rsidR="00F5353B">
        <w:rPr>
          <w:rFonts w:ascii="Times New Roman" w:hAnsi="Times New Roman" w:cs="Times New Roman"/>
        </w:rPr>
        <w:t xml:space="preserve"> </w:t>
      </w:r>
      <w:r w:rsidR="0080395E">
        <w:rPr>
          <w:rFonts w:ascii="Times New Roman" w:hAnsi="Times New Roman" w:cs="Times New Roman"/>
        </w:rPr>
        <w:lastRenderedPageBreak/>
        <w:t xml:space="preserve">We could not achieve convergence with </w:t>
      </w:r>
      <w:proofErr w:type="spellStart"/>
      <w:r w:rsidR="00F5353B">
        <w:rPr>
          <w:rFonts w:ascii="Times New Roman" w:hAnsi="Times New Roman" w:cs="Times New Roman"/>
        </w:rPr>
        <w:t>MafiCH</w:t>
      </w:r>
      <w:proofErr w:type="spellEnd"/>
      <w:r w:rsidR="00F5353B">
        <w:rPr>
          <w:rFonts w:ascii="Times New Roman" w:hAnsi="Times New Roman" w:cs="Times New Roman"/>
        </w:rPr>
        <w:t xml:space="preserve"> </w:t>
      </w:r>
      <w:r w:rsidR="0080395E">
        <w:rPr>
          <w:rFonts w:ascii="Times New Roman" w:hAnsi="Times New Roman" w:cs="Times New Roman"/>
        </w:rPr>
        <w:t>for</w:t>
      </w:r>
      <w:r w:rsidR="00F5353B">
        <w:rPr>
          <w:rFonts w:ascii="Times New Roman" w:hAnsi="Times New Roman" w:cs="Times New Roman"/>
        </w:rPr>
        <w:t xml:space="preserve"> 1 ppm CO</w:t>
      </w:r>
      <w:r w:rsidR="00F5353B" w:rsidRPr="004A18D8">
        <w:rPr>
          <w:rFonts w:ascii="Times New Roman" w:hAnsi="Times New Roman" w:cs="Times New Roman"/>
          <w:vertAlign w:val="subscript"/>
        </w:rPr>
        <w:t>2</w:t>
      </w:r>
      <w:r w:rsidR="00F5353B">
        <w:rPr>
          <w:rFonts w:ascii="Times New Roman" w:hAnsi="Times New Roman" w:cs="Times New Roman"/>
        </w:rPr>
        <w:t>, hence 2 ppm</w:t>
      </w:r>
      <w:r w:rsidR="008E2A36">
        <w:rPr>
          <w:rFonts w:ascii="Times New Roman" w:hAnsi="Times New Roman" w:cs="Times New Roman"/>
        </w:rPr>
        <w:t xml:space="preserve"> CO</w:t>
      </w:r>
      <w:r w:rsidR="008E2A36" w:rsidRPr="004A18D8">
        <w:rPr>
          <w:rFonts w:ascii="Times New Roman" w:hAnsi="Times New Roman" w:cs="Times New Roman"/>
          <w:vertAlign w:val="subscript"/>
        </w:rPr>
        <w:t>2</w:t>
      </w:r>
      <w:r w:rsidR="00F5353B">
        <w:rPr>
          <w:rFonts w:ascii="Times New Roman" w:hAnsi="Times New Roman" w:cs="Times New Roman"/>
        </w:rPr>
        <w:t xml:space="preserve"> was used. </w:t>
      </w:r>
      <w:r w:rsidR="0080395E">
        <w:rPr>
          <w:rFonts w:ascii="Times New Roman" w:hAnsi="Times New Roman" w:cs="Times New Roman"/>
        </w:rPr>
        <w:t xml:space="preserve">Likewise, we were unable to achieve convergence with </w:t>
      </w:r>
      <w:proofErr w:type="spellStart"/>
      <w:r w:rsidR="00F5353B">
        <w:rPr>
          <w:rFonts w:ascii="Times New Roman" w:hAnsi="Times New Roman" w:cs="Times New Roman"/>
        </w:rPr>
        <w:t>MagmaSat</w:t>
      </w:r>
      <w:proofErr w:type="spellEnd"/>
      <w:r w:rsidR="00F5353B">
        <w:rPr>
          <w:rFonts w:ascii="Times New Roman" w:hAnsi="Times New Roman" w:cs="Times New Roman"/>
        </w:rPr>
        <w:t xml:space="preserve"> </w:t>
      </w:r>
      <w:r w:rsidR="0080395E">
        <w:rPr>
          <w:rFonts w:ascii="Times New Roman" w:hAnsi="Times New Roman" w:cs="Times New Roman"/>
        </w:rPr>
        <w:t>for</w:t>
      </w:r>
      <w:r w:rsidR="00F5353B">
        <w:rPr>
          <w:rFonts w:ascii="Times New Roman" w:hAnsi="Times New Roman" w:cs="Times New Roman"/>
        </w:rPr>
        <w:t xml:space="preserve"> 1 ppm CO</w:t>
      </w:r>
      <w:r w:rsidR="00F5353B" w:rsidRPr="004A18D8">
        <w:rPr>
          <w:rFonts w:ascii="Times New Roman" w:hAnsi="Times New Roman" w:cs="Times New Roman"/>
          <w:vertAlign w:val="subscript"/>
        </w:rPr>
        <w:t>2</w:t>
      </w:r>
      <w:r w:rsidR="00F5353B">
        <w:rPr>
          <w:rFonts w:ascii="Times New Roman" w:hAnsi="Times New Roman" w:cs="Times New Roman"/>
        </w:rPr>
        <w:t xml:space="preserve"> and 3 </w:t>
      </w:r>
      <w:proofErr w:type="spellStart"/>
      <w:r w:rsidR="00F5353B">
        <w:rPr>
          <w:rFonts w:ascii="Times New Roman" w:hAnsi="Times New Roman" w:cs="Times New Roman"/>
        </w:rPr>
        <w:t>wt</w:t>
      </w:r>
      <w:proofErr w:type="spellEnd"/>
      <w:r w:rsidR="00F5353B">
        <w:rPr>
          <w:rFonts w:ascii="Times New Roman" w:hAnsi="Times New Roman" w:cs="Times New Roman"/>
        </w:rPr>
        <w:t>% H</w:t>
      </w:r>
      <w:r w:rsidR="00F5353B" w:rsidRPr="004A18D8">
        <w:rPr>
          <w:rFonts w:ascii="Times New Roman" w:hAnsi="Times New Roman" w:cs="Times New Roman"/>
          <w:vertAlign w:val="subscript"/>
        </w:rPr>
        <w:t>2</w:t>
      </w:r>
      <w:r w:rsidR="00F5353B">
        <w:rPr>
          <w:rFonts w:ascii="Times New Roman" w:hAnsi="Times New Roman" w:cs="Times New Roman"/>
        </w:rPr>
        <w:t>O or 1000 ppm CO</w:t>
      </w:r>
      <w:r w:rsidR="00F5353B" w:rsidRPr="004A18D8">
        <w:rPr>
          <w:rFonts w:ascii="Times New Roman" w:hAnsi="Times New Roman" w:cs="Times New Roman"/>
          <w:vertAlign w:val="subscript"/>
        </w:rPr>
        <w:t>2</w:t>
      </w:r>
      <w:r w:rsidR="00F5353B">
        <w:rPr>
          <w:rFonts w:ascii="Times New Roman" w:hAnsi="Times New Roman" w:cs="Times New Roman"/>
        </w:rPr>
        <w:t xml:space="preserve"> and 0.01 or 5 </w:t>
      </w:r>
      <w:proofErr w:type="spellStart"/>
      <w:r w:rsidR="00F5353B">
        <w:rPr>
          <w:rFonts w:ascii="Times New Roman" w:hAnsi="Times New Roman" w:cs="Times New Roman"/>
        </w:rPr>
        <w:t>wt</w:t>
      </w:r>
      <w:proofErr w:type="spellEnd"/>
      <w:r w:rsidR="00F5353B">
        <w:rPr>
          <w:rFonts w:ascii="Times New Roman" w:hAnsi="Times New Roman" w:cs="Times New Roman"/>
        </w:rPr>
        <w:t>% H</w:t>
      </w:r>
      <w:r w:rsidR="00F5353B" w:rsidRPr="004A18D8">
        <w:rPr>
          <w:rFonts w:ascii="Times New Roman" w:hAnsi="Times New Roman" w:cs="Times New Roman"/>
          <w:vertAlign w:val="subscript"/>
        </w:rPr>
        <w:t>2</w:t>
      </w:r>
      <w:r w:rsidR="00F5353B">
        <w:rPr>
          <w:rFonts w:ascii="Times New Roman" w:hAnsi="Times New Roman" w:cs="Times New Roman"/>
        </w:rPr>
        <w:t>O</w:t>
      </w:r>
      <w:r w:rsidR="0080395E">
        <w:rPr>
          <w:rFonts w:ascii="Times New Roman" w:hAnsi="Times New Roman" w:cs="Times New Roman"/>
        </w:rPr>
        <w:t>; no results are presented for these volatile contents using this model</w:t>
      </w:r>
      <w:r w:rsidR="00F5353B">
        <w:rPr>
          <w:rFonts w:ascii="Times New Roman" w:hAnsi="Times New Roman" w:cs="Times New Roman"/>
        </w:rPr>
        <w:t>.</w:t>
      </w:r>
      <w:r w:rsidR="000E0AC9">
        <w:rPr>
          <w:rFonts w:ascii="Times New Roman" w:hAnsi="Times New Roman" w:cs="Times New Roman"/>
        </w:rPr>
        <w:t xml:space="preserve"> </w:t>
      </w:r>
    </w:p>
    <w:p w14:paraId="54CAE02C" w14:textId="3522C4AE" w:rsidR="00F26F08" w:rsidRDefault="00C07BF0" w:rsidP="00F26F08">
      <w:pPr>
        <w:keepNext/>
        <w:jc w:val="center"/>
      </w:pPr>
      <w:r>
        <w:rPr>
          <w:noProof/>
        </w:rPr>
        <w:drawing>
          <wp:inline distT="0" distB="0" distL="0" distR="0" wp14:anchorId="40FE20A9" wp14:editId="7037BF25">
            <wp:extent cx="4584700" cy="2755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84700" cy="2755900"/>
                    </a:xfrm>
                    <a:prstGeom prst="rect">
                      <a:avLst/>
                    </a:prstGeom>
                  </pic:spPr>
                </pic:pic>
              </a:graphicData>
            </a:graphic>
          </wp:inline>
        </w:drawing>
      </w:r>
    </w:p>
    <w:p w14:paraId="0606E17D" w14:textId="0024AEC5" w:rsidR="00F26F08" w:rsidRPr="00C07BF0" w:rsidRDefault="00F26F08" w:rsidP="0022237F">
      <w:pPr>
        <w:pStyle w:val="Caption"/>
        <w:spacing w:after="0"/>
        <w:ind w:firstLine="0"/>
        <w:rPr>
          <w:rFonts w:ascii="Times New Roman" w:hAnsi="Times New Roman"/>
          <w:color w:val="000000" w:themeColor="text1"/>
          <w:sz w:val="24"/>
          <w:szCs w:val="24"/>
        </w:rPr>
      </w:pPr>
      <w:bookmarkStart w:id="18" w:name="_Ref118661942"/>
      <w:r w:rsidRPr="00C07BF0">
        <w:rPr>
          <w:color w:val="000000" w:themeColor="text1"/>
          <w:sz w:val="24"/>
          <w:szCs w:val="24"/>
        </w:rPr>
        <w:t>Figure S</w:t>
      </w:r>
      <w:r w:rsidRPr="00C07BF0">
        <w:rPr>
          <w:color w:val="000000" w:themeColor="text1"/>
          <w:sz w:val="24"/>
          <w:szCs w:val="24"/>
        </w:rPr>
        <w:fldChar w:fldCharType="begin"/>
      </w:r>
      <w:r w:rsidRPr="00C07BF0">
        <w:rPr>
          <w:color w:val="000000" w:themeColor="text1"/>
          <w:sz w:val="24"/>
          <w:szCs w:val="24"/>
        </w:rPr>
        <w:instrText xml:space="preserve"> SEQ Figure \* ARABIC </w:instrText>
      </w:r>
      <w:r w:rsidRPr="00C07BF0">
        <w:rPr>
          <w:color w:val="000000" w:themeColor="text1"/>
          <w:sz w:val="24"/>
          <w:szCs w:val="24"/>
        </w:rPr>
        <w:fldChar w:fldCharType="separate"/>
      </w:r>
      <w:r w:rsidR="009E5695">
        <w:rPr>
          <w:noProof/>
          <w:color w:val="000000" w:themeColor="text1"/>
          <w:sz w:val="24"/>
          <w:szCs w:val="24"/>
        </w:rPr>
        <w:t>8</w:t>
      </w:r>
      <w:r w:rsidRPr="00C07BF0">
        <w:rPr>
          <w:color w:val="000000" w:themeColor="text1"/>
          <w:sz w:val="24"/>
          <w:szCs w:val="24"/>
        </w:rPr>
        <w:fldChar w:fldCharType="end"/>
      </w:r>
      <w:bookmarkEnd w:id="18"/>
      <w:r w:rsidRPr="00C07BF0">
        <w:rPr>
          <w:i w:val="0"/>
          <w:iCs w:val="0"/>
          <w:color w:val="000000" w:themeColor="text1"/>
          <w:sz w:val="24"/>
          <w:szCs w:val="24"/>
        </w:rPr>
        <w:t xml:space="preserve"> Pressure of vapor saturation</w:t>
      </w:r>
      <w:r w:rsidR="00C07BF0">
        <w:rPr>
          <w:i w:val="0"/>
          <w:iCs w:val="0"/>
          <w:color w:val="000000" w:themeColor="text1"/>
          <w:sz w:val="24"/>
          <w:szCs w:val="24"/>
        </w:rPr>
        <w:t xml:space="preserve"> (</w:t>
      </w:r>
      <w:proofErr w:type="spellStart"/>
      <w:r w:rsidR="00C07BF0" w:rsidRPr="00C07BF0">
        <w:rPr>
          <w:color w:val="000000" w:themeColor="text1"/>
          <w:sz w:val="24"/>
          <w:szCs w:val="24"/>
        </w:rPr>
        <w:t>P</w:t>
      </w:r>
      <w:r w:rsidR="00C07BF0" w:rsidRPr="00C07BF0">
        <w:rPr>
          <w:color w:val="000000" w:themeColor="text1"/>
          <w:sz w:val="24"/>
          <w:szCs w:val="24"/>
          <w:vertAlign w:val="superscript"/>
        </w:rPr>
        <w:t>v</w:t>
      </w:r>
      <w:r w:rsidR="00C07BF0" w:rsidRPr="00C07BF0">
        <w:rPr>
          <w:i w:val="0"/>
          <w:iCs w:val="0"/>
          <w:color w:val="000000" w:themeColor="text1"/>
          <w:sz w:val="24"/>
          <w:szCs w:val="24"/>
          <w:vertAlign w:val="subscript"/>
        </w:rPr>
        <w:t>sat</w:t>
      </w:r>
      <w:proofErr w:type="spellEnd"/>
      <w:r w:rsidR="00C07BF0">
        <w:rPr>
          <w:i w:val="0"/>
          <w:iCs w:val="0"/>
          <w:color w:val="000000" w:themeColor="text1"/>
          <w:sz w:val="24"/>
          <w:szCs w:val="24"/>
        </w:rPr>
        <w:t>)</w:t>
      </w:r>
      <w:r w:rsidRPr="00C07BF0">
        <w:rPr>
          <w:i w:val="0"/>
          <w:iCs w:val="0"/>
          <w:color w:val="000000" w:themeColor="text1"/>
          <w:sz w:val="24"/>
          <w:szCs w:val="24"/>
        </w:rPr>
        <w:t xml:space="preserve"> calculated for varying H</w:t>
      </w:r>
      <w:r w:rsidRPr="00C07BF0">
        <w:rPr>
          <w:i w:val="0"/>
          <w:iCs w:val="0"/>
          <w:color w:val="000000" w:themeColor="text1"/>
          <w:sz w:val="24"/>
          <w:szCs w:val="24"/>
          <w:vertAlign w:val="subscript"/>
        </w:rPr>
        <w:t>2</w:t>
      </w:r>
      <w:r w:rsidRPr="00C07BF0">
        <w:rPr>
          <w:i w:val="0"/>
          <w:iCs w:val="0"/>
          <w:color w:val="000000" w:themeColor="text1"/>
          <w:sz w:val="24"/>
          <w:szCs w:val="24"/>
        </w:rPr>
        <w:t>O</w:t>
      </w:r>
      <w:r w:rsidR="008E2A36">
        <w:rPr>
          <w:i w:val="0"/>
          <w:iCs w:val="0"/>
          <w:color w:val="000000" w:themeColor="text1"/>
          <w:sz w:val="24"/>
          <w:szCs w:val="24"/>
        </w:rPr>
        <w:t xml:space="preserve"> concentrations</w:t>
      </w:r>
      <w:r w:rsidRPr="00C07BF0">
        <w:rPr>
          <w:i w:val="0"/>
          <w:iCs w:val="0"/>
          <w:color w:val="000000" w:themeColor="text1"/>
          <w:sz w:val="24"/>
          <w:szCs w:val="24"/>
        </w:rPr>
        <w:t xml:space="preserve"> at 1000 ppm CO</w:t>
      </w:r>
      <w:r w:rsidRPr="00C07BF0">
        <w:rPr>
          <w:i w:val="0"/>
          <w:iCs w:val="0"/>
          <w:color w:val="000000" w:themeColor="text1"/>
          <w:sz w:val="24"/>
          <w:szCs w:val="24"/>
          <w:vertAlign w:val="subscript"/>
        </w:rPr>
        <w:t>2</w:t>
      </w:r>
      <w:r w:rsidRPr="00C07BF0">
        <w:rPr>
          <w:i w:val="0"/>
          <w:iCs w:val="0"/>
          <w:color w:val="000000" w:themeColor="text1"/>
          <w:sz w:val="24"/>
          <w:szCs w:val="24"/>
        </w:rPr>
        <w:t xml:space="preserve"> using different models: </w:t>
      </w:r>
      <w:proofErr w:type="spellStart"/>
      <w:r w:rsidRPr="00C07BF0">
        <w:rPr>
          <w:i w:val="0"/>
          <w:iCs w:val="0"/>
          <w:color w:val="000000" w:themeColor="text1"/>
          <w:sz w:val="24"/>
          <w:szCs w:val="24"/>
        </w:rPr>
        <w:t>VolatileCalc</w:t>
      </w:r>
      <w:proofErr w:type="spellEnd"/>
      <w:r w:rsidRPr="00C07BF0">
        <w:rPr>
          <w:i w:val="0"/>
          <w:iCs w:val="0"/>
          <w:color w:val="000000" w:themeColor="text1"/>
          <w:sz w:val="24"/>
          <w:szCs w:val="24"/>
        </w:rPr>
        <w:t xml:space="preserve"> (yellow), </w:t>
      </w:r>
      <w:proofErr w:type="spellStart"/>
      <w:r w:rsidRPr="00C07BF0">
        <w:rPr>
          <w:i w:val="0"/>
          <w:iCs w:val="0"/>
          <w:color w:val="000000" w:themeColor="text1"/>
          <w:sz w:val="24"/>
          <w:szCs w:val="24"/>
        </w:rPr>
        <w:t>MagmaSat</w:t>
      </w:r>
      <w:proofErr w:type="spellEnd"/>
      <w:r w:rsidRPr="00C07BF0">
        <w:rPr>
          <w:i w:val="0"/>
          <w:iCs w:val="0"/>
          <w:color w:val="000000" w:themeColor="text1"/>
          <w:sz w:val="24"/>
          <w:szCs w:val="24"/>
        </w:rPr>
        <w:t xml:space="preserve"> (orange), </w:t>
      </w:r>
      <w:proofErr w:type="spellStart"/>
      <w:r w:rsidRPr="00C07BF0">
        <w:rPr>
          <w:i w:val="0"/>
          <w:iCs w:val="0"/>
          <w:color w:val="000000" w:themeColor="text1"/>
          <w:sz w:val="24"/>
          <w:szCs w:val="24"/>
        </w:rPr>
        <w:t>MafiCH</w:t>
      </w:r>
      <w:proofErr w:type="spellEnd"/>
      <w:r w:rsidRPr="00C07BF0">
        <w:rPr>
          <w:i w:val="0"/>
          <w:iCs w:val="0"/>
          <w:color w:val="000000" w:themeColor="text1"/>
          <w:sz w:val="24"/>
          <w:szCs w:val="24"/>
        </w:rPr>
        <w:t xml:space="preserve"> (blue), and this study (grey).</w:t>
      </w:r>
      <w:r w:rsidR="005874BF">
        <w:rPr>
          <w:i w:val="0"/>
          <w:iCs w:val="0"/>
          <w:color w:val="000000" w:themeColor="text1"/>
          <w:sz w:val="24"/>
          <w:szCs w:val="24"/>
        </w:rPr>
        <w:t xml:space="preserve"> This is equivalent to case 1 (only oxidised C-O-H species in the melt and vapor).</w:t>
      </w:r>
    </w:p>
    <w:p w14:paraId="5105224B" w14:textId="166C6B86" w:rsidR="00F26F08" w:rsidRDefault="00C07BF0" w:rsidP="00F26F08">
      <w:pPr>
        <w:keepNext/>
        <w:jc w:val="center"/>
      </w:pPr>
      <w:r>
        <w:rPr>
          <w:noProof/>
        </w:rPr>
        <w:drawing>
          <wp:inline distT="0" distB="0" distL="0" distR="0" wp14:anchorId="5774A769" wp14:editId="3147469B">
            <wp:extent cx="4572000" cy="27432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000" cy="2743200"/>
                    </a:xfrm>
                    <a:prstGeom prst="rect">
                      <a:avLst/>
                    </a:prstGeom>
                  </pic:spPr>
                </pic:pic>
              </a:graphicData>
            </a:graphic>
          </wp:inline>
        </w:drawing>
      </w:r>
    </w:p>
    <w:p w14:paraId="1C21B935" w14:textId="2080A1A6" w:rsidR="00F26F08" w:rsidRDefault="00D61BC9" w:rsidP="0022237F">
      <w:pPr>
        <w:pStyle w:val="Caption"/>
        <w:spacing w:after="0"/>
        <w:ind w:firstLine="0"/>
        <w:rPr>
          <w:i w:val="0"/>
          <w:iCs w:val="0"/>
          <w:color w:val="000000" w:themeColor="text1"/>
          <w:sz w:val="24"/>
          <w:szCs w:val="24"/>
        </w:rPr>
      </w:pPr>
      <w:bookmarkStart w:id="19" w:name="_Ref118661943"/>
      <w:r w:rsidRPr="00C07BF0">
        <w:rPr>
          <w:color w:val="000000" w:themeColor="text1"/>
          <w:sz w:val="24"/>
          <w:szCs w:val="24"/>
        </w:rPr>
        <w:t>Figure S</w:t>
      </w:r>
      <w:r w:rsidRPr="00C07BF0">
        <w:rPr>
          <w:color w:val="000000" w:themeColor="text1"/>
          <w:sz w:val="24"/>
          <w:szCs w:val="24"/>
        </w:rPr>
        <w:fldChar w:fldCharType="begin"/>
      </w:r>
      <w:r w:rsidRPr="00C07BF0">
        <w:rPr>
          <w:color w:val="000000" w:themeColor="text1"/>
          <w:sz w:val="24"/>
          <w:szCs w:val="24"/>
        </w:rPr>
        <w:instrText xml:space="preserve"> SEQ Figure \* ARABIC </w:instrText>
      </w:r>
      <w:r w:rsidRPr="00C07BF0">
        <w:rPr>
          <w:color w:val="000000" w:themeColor="text1"/>
          <w:sz w:val="24"/>
          <w:szCs w:val="24"/>
        </w:rPr>
        <w:fldChar w:fldCharType="separate"/>
      </w:r>
      <w:r w:rsidR="009E5695">
        <w:rPr>
          <w:noProof/>
          <w:color w:val="000000" w:themeColor="text1"/>
          <w:sz w:val="24"/>
          <w:szCs w:val="24"/>
        </w:rPr>
        <w:t>9</w:t>
      </w:r>
      <w:r w:rsidRPr="00C07BF0">
        <w:rPr>
          <w:color w:val="000000" w:themeColor="text1"/>
          <w:sz w:val="24"/>
          <w:szCs w:val="24"/>
        </w:rPr>
        <w:fldChar w:fldCharType="end"/>
      </w:r>
      <w:bookmarkEnd w:id="19"/>
      <w:r w:rsidRPr="00C07BF0">
        <w:rPr>
          <w:i w:val="0"/>
          <w:iCs w:val="0"/>
          <w:color w:val="000000" w:themeColor="text1"/>
          <w:sz w:val="24"/>
          <w:szCs w:val="24"/>
        </w:rPr>
        <w:t xml:space="preserve"> Pressure of vapor saturation</w:t>
      </w:r>
      <w:r w:rsidR="00C07BF0">
        <w:rPr>
          <w:i w:val="0"/>
          <w:iCs w:val="0"/>
          <w:color w:val="000000" w:themeColor="text1"/>
          <w:sz w:val="24"/>
          <w:szCs w:val="24"/>
        </w:rPr>
        <w:t xml:space="preserve"> (</w:t>
      </w:r>
      <w:proofErr w:type="spellStart"/>
      <w:r w:rsidR="00C07BF0" w:rsidRPr="00C07BF0">
        <w:rPr>
          <w:color w:val="000000" w:themeColor="text1"/>
          <w:sz w:val="24"/>
          <w:szCs w:val="24"/>
        </w:rPr>
        <w:t>P</w:t>
      </w:r>
      <w:r w:rsidR="00C07BF0" w:rsidRPr="00C07BF0">
        <w:rPr>
          <w:color w:val="000000" w:themeColor="text1"/>
          <w:sz w:val="24"/>
          <w:szCs w:val="24"/>
          <w:vertAlign w:val="superscript"/>
        </w:rPr>
        <w:t>v</w:t>
      </w:r>
      <w:r w:rsidR="00C07BF0" w:rsidRPr="00C07BF0">
        <w:rPr>
          <w:i w:val="0"/>
          <w:iCs w:val="0"/>
          <w:color w:val="000000" w:themeColor="text1"/>
          <w:sz w:val="24"/>
          <w:szCs w:val="24"/>
          <w:vertAlign w:val="subscript"/>
        </w:rPr>
        <w:t>sat</w:t>
      </w:r>
      <w:proofErr w:type="spellEnd"/>
      <w:r w:rsidR="00C07BF0">
        <w:rPr>
          <w:i w:val="0"/>
          <w:iCs w:val="0"/>
          <w:color w:val="000000" w:themeColor="text1"/>
          <w:sz w:val="24"/>
          <w:szCs w:val="24"/>
        </w:rPr>
        <w:t>)</w:t>
      </w:r>
      <w:r w:rsidRPr="00C07BF0">
        <w:rPr>
          <w:i w:val="0"/>
          <w:iCs w:val="0"/>
          <w:color w:val="000000" w:themeColor="text1"/>
          <w:sz w:val="24"/>
          <w:szCs w:val="24"/>
        </w:rPr>
        <w:t xml:space="preserve"> calculated for varying CO</w:t>
      </w:r>
      <w:r w:rsidRPr="00C07BF0">
        <w:rPr>
          <w:i w:val="0"/>
          <w:iCs w:val="0"/>
          <w:color w:val="000000" w:themeColor="text1"/>
          <w:sz w:val="24"/>
          <w:szCs w:val="24"/>
          <w:vertAlign w:val="subscript"/>
        </w:rPr>
        <w:t>2</w:t>
      </w:r>
      <w:r w:rsidRPr="00C07BF0">
        <w:rPr>
          <w:i w:val="0"/>
          <w:iCs w:val="0"/>
          <w:color w:val="000000" w:themeColor="text1"/>
          <w:sz w:val="24"/>
          <w:szCs w:val="24"/>
        </w:rPr>
        <w:t xml:space="preserve"> </w:t>
      </w:r>
      <w:proofErr w:type="spellStart"/>
      <w:r w:rsidR="008E2A36">
        <w:rPr>
          <w:i w:val="0"/>
          <w:iCs w:val="0"/>
          <w:color w:val="000000" w:themeColor="text1"/>
          <w:sz w:val="24"/>
          <w:szCs w:val="24"/>
        </w:rPr>
        <w:t>concetrations</w:t>
      </w:r>
      <w:proofErr w:type="spellEnd"/>
      <w:r w:rsidR="008E2A36">
        <w:rPr>
          <w:i w:val="0"/>
          <w:iCs w:val="0"/>
          <w:color w:val="000000" w:themeColor="text1"/>
          <w:sz w:val="24"/>
          <w:szCs w:val="24"/>
        </w:rPr>
        <w:t xml:space="preserve"> </w:t>
      </w:r>
      <w:r w:rsidRPr="00C07BF0">
        <w:rPr>
          <w:i w:val="0"/>
          <w:iCs w:val="0"/>
          <w:color w:val="000000" w:themeColor="text1"/>
          <w:sz w:val="24"/>
          <w:szCs w:val="24"/>
        </w:rPr>
        <w:t xml:space="preserve">at 3 </w:t>
      </w:r>
      <w:proofErr w:type="spellStart"/>
      <w:r w:rsidRPr="00C07BF0">
        <w:rPr>
          <w:i w:val="0"/>
          <w:iCs w:val="0"/>
          <w:color w:val="000000" w:themeColor="text1"/>
          <w:sz w:val="24"/>
          <w:szCs w:val="24"/>
        </w:rPr>
        <w:t>wt</w:t>
      </w:r>
      <w:proofErr w:type="spellEnd"/>
      <w:r w:rsidRPr="00C07BF0">
        <w:rPr>
          <w:i w:val="0"/>
          <w:iCs w:val="0"/>
          <w:color w:val="000000" w:themeColor="text1"/>
          <w:sz w:val="24"/>
          <w:szCs w:val="24"/>
        </w:rPr>
        <w:t>% H</w:t>
      </w:r>
      <w:r w:rsidRPr="00C07BF0">
        <w:rPr>
          <w:i w:val="0"/>
          <w:iCs w:val="0"/>
          <w:color w:val="000000" w:themeColor="text1"/>
          <w:sz w:val="24"/>
          <w:szCs w:val="24"/>
          <w:vertAlign w:val="subscript"/>
        </w:rPr>
        <w:t>2</w:t>
      </w:r>
      <w:r w:rsidRPr="00C07BF0">
        <w:rPr>
          <w:i w:val="0"/>
          <w:iCs w:val="0"/>
          <w:color w:val="000000" w:themeColor="text1"/>
          <w:sz w:val="24"/>
          <w:szCs w:val="24"/>
        </w:rPr>
        <w:t xml:space="preserve">O using different models: </w:t>
      </w:r>
      <w:proofErr w:type="spellStart"/>
      <w:r w:rsidRPr="00C07BF0">
        <w:rPr>
          <w:i w:val="0"/>
          <w:iCs w:val="0"/>
          <w:color w:val="000000" w:themeColor="text1"/>
          <w:sz w:val="24"/>
          <w:szCs w:val="24"/>
        </w:rPr>
        <w:t>VolatileCalc</w:t>
      </w:r>
      <w:proofErr w:type="spellEnd"/>
      <w:r w:rsidRPr="00C07BF0">
        <w:rPr>
          <w:i w:val="0"/>
          <w:iCs w:val="0"/>
          <w:color w:val="000000" w:themeColor="text1"/>
          <w:sz w:val="24"/>
          <w:szCs w:val="24"/>
        </w:rPr>
        <w:t xml:space="preserve"> (yellow), </w:t>
      </w:r>
      <w:proofErr w:type="spellStart"/>
      <w:r w:rsidRPr="00C07BF0">
        <w:rPr>
          <w:i w:val="0"/>
          <w:iCs w:val="0"/>
          <w:color w:val="000000" w:themeColor="text1"/>
          <w:sz w:val="24"/>
          <w:szCs w:val="24"/>
        </w:rPr>
        <w:t>MagmaSat</w:t>
      </w:r>
      <w:proofErr w:type="spellEnd"/>
      <w:r w:rsidRPr="00C07BF0">
        <w:rPr>
          <w:i w:val="0"/>
          <w:iCs w:val="0"/>
          <w:color w:val="000000" w:themeColor="text1"/>
          <w:sz w:val="24"/>
          <w:szCs w:val="24"/>
        </w:rPr>
        <w:t xml:space="preserve"> (orange), </w:t>
      </w:r>
      <w:proofErr w:type="spellStart"/>
      <w:r w:rsidRPr="00C07BF0">
        <w:rPr>
          <w:i w:val="0"/>
          <w:iCs w:val="0"/>
          <w:color w:val="000000" w:themeColor="text1"/>
          <w:sz w:val="24"/>
          <w:szCs w:val="24"/>
        </w:rPr>
        <w:t>MafiCH</w:t>
      </w:r>
      <w:proofErr w:type="spellEnd"/>
      <w:r w:rsidRPr="00C07BF0">
        <w:rPr>
          <w:i w:val="0"/>
          <w:iCs w:val="0"/>
          <w:color w:val="000000" w:themeColor="text1"/>
          <w:sz w:val="24"/>
          <w:szCs w:val="24"/>
        </w:rPr>
        <w:t xml:space="preserve"> (blue), and this study (grey).</w:t>
      </w:r>
      <w:r w:rsidR="005874BF">
        <w:rPr>
          <w:i w:val="0"/>
          <w:iCs w:val="0"/>
          <w:color w:val="000000" w:themeColor="text1"/>
          <w:sz w:val="24"/>
          <w:szCs w:val="24"/>
        </w:rPr>
        <w:t xml:space="preserve"> This is equivalent to case 1 (only oxidised C-O-H species in the melt and vapor).</w:t>
      </w:r>
    </w:p>
    <w:p w14:paraId="01C61D13" w14:textId="77777777" w:rsidR="0022237F" w:rsidRPr="0022237F" w:rsidRDefault="0022237F" w:rsidP="0022237F"/>
    <w:p w14:paraId="07655B93" w14:textId="18ADE83F" w:rsidR="005339B8" w:rsidRDefault="000E0AC9" w:rsidP="004168B8">
      <w:pPr>
        <w:ind w:firstLine="720"/>
        <w:jc w:val="both"/>
        <w:rPr>
          <w:rFonts w:asciiTheme="majorBidi" w:eastAsiaTheme="minorEastAsia" w:hAnsiTheme="majorBidi"/>
          <w:color w:val="000000" w:themeColor="text1"/>
          <w:sz w:val="20"/>
          <w:szCs w:val="20"/>
        </w:rPr>
      </w:pPr>
      <w:r>
        <w:rPr>
          <w:rFonts w:ascii="Times New Roman" w:hAnsi="Times New Roman" w:cs="Times New Roman"/>
        </w:rPr>
        <w:t>All models show similar trends. For constant CO</w:t>
      </w:r>
      <w:r w:rsidRPr="000B6300">
        <w:rPr>
          <w:rFonts w:ascii="Times New Roman" w:hAnsi="Times New Roman" w:cs="Times New Roman"/>
          <w:vertAlign w:val="subscript"/>
        </w:rPr>
        <w:t>2</w:t>
      </w:r>
      <w:r>
        <w:rPr>
          <w:rFonts w:ascii="Times New Roman" w:hAnsi="Times New Roman" w:cs="Times New Roman"/>
        </w:rPr>
        <w:t xml:space="preserve"> and increasing H</w:t>
      </w:r>
      <w:r w:rsidRPr="000B6300">
        <w:rPr>
          <w:rFonts w:ascii="Times New Roman" w:hAnsi="Times New Roman" w:cs="Times New Roman"/>
          <w:vertAlign w:val="subscript"/>
        </w:rPr>
        <w:t>2</w:t>
      </w:r>
      <w:r>
        <w:rPr>
          <w:rFonts w:ascii="Times New Roman" w:hAnsi="Times New Roman" w:cs="Times New Roman"/>
        </w:rPr>
        <w:t xml:space="preserve">O, all models are slightly concave </w:t>
      </w:r>
      <w:proofErr w:type="gramStart"/>
      <w:r>
        <w:rPr>
          <w:rFonts w:ascii="Times New Roman" w:hAnsi="Times New Roman" w:cs="Times New Roman"/>
        </w:rPr>
        <w:t>up;</w:t>
      </w:r>
      <w:proofErr w:type="gramEnd"/>
      <w:r>
        <w:rPr>
          <w:rFonts w:ascii="Times New Roman" w:hAnsi="Times New Roman" w:cs="Times New Roman"/>
        </w:rPr>
        <w:t xml:space="preserve"> whereas for constant H</w:t>
      </w:r>
      <w:r w:rsidRPr="000B6300">
        <w:rPr>
          <w:rFonts w:ascii="Times New Roman" w:hAnsi="Times New Roman" w:cs="Times New Roman"/>
          <w:vertAlign w:val="subscript"/>
        </w:rPr>
        <w:t>2</w:t>
      </w:r>
      <w:r>
        <w:rPr>
          <w:rFonts w:ascii="Times New Roman" w:hAnsi="Times New Roman" w:cs="Times New Roman"/>
        </w:rPr>
        <w:t>O and increasing CO</w:t>
      </w:r>
      <w:r w:rsidRPr="000B6300">
        <w:rPr>
          <w:rFonts w:ascii="Times New Roman" w:hAnsi="Times New Roman" w:cs="Times New Roman"/>
          <w:vertAlign w:val="subscript"/>
        </w:rPr>
        <w:t>2</w:t>
      </w:r>
      <w:r>
        <w:rPr>
          <w:rFonts w:ascii="Times New Roman" w:hAnsi="Times New Roman" w:cs="Times New Roman"/>
        </w:rPr>
        <w:t xml:space="preserve">, all models essentially linearly increase. </w:t>
      </w:r>
      <w:r w:rsidR="00E74296">
        <w:rPr>
          <w:rFonts w:ascii="Times New Roman" w:hAnsi="Times New Roman" w:cs="Times New Roman"/>
        </w:rPr>
        <w:t xml:space="preserve">However, the models differ in their absolute values of </w:t>
      </w:r>
      <w:proofErr w:type="spellStart"/>
      <w:r w:rsidR="00E74296" w:rsidRPr="000B6300">
        <w:rPr>
          <w:rFonts w:ascii="Times New Roman" w:hAnsi="Times New Roman" w:cs="Times New Roman"/>
          <w:i/>
          <w:iCs/>
        </w:rPr>
        <w:t>P</w:t>
      </w:r>
      <w:r w:rsidR="00E74296" w:rsidRPr="000B6300">
        <w:rPr>
          <w:rFonts w:ascii="Times New Roman" w:hAnsi="Times New Roman" w:cs="Times New Roman"/>
          <w:i/>
          <w:iCs/>
          <w:vertAlign w:val="superscript"/>
        </w:rPr>
        <w:t>v</w:t>
      </w:r>
      <w:r w:rsidR="00E74296" w:rsidRPr="000B6300">
        <w:rPr>
          <w:rFonts w:ascii="Times New Roman" w:hAnsi="Times New Roman" w:cs="Times New Roman"/>
          <w:vertAlign w:val="subscript"/>
        </w:rPr>
        <w:t>sat</w:t>
      </w:r>
      <w:proofErr w:type="spellEnd"/>
      <w:r w:rsidR="00E74296">
        <w:rPr>
          <w:rFonts w:ascii="Times New Roman" w:hAnsi="Times New Roman" w:cs="Times New Roman"/>
        </w:rPr>
        <w:t xml:space="preserve"> for the different </w:t>
      </w:r>
      <w:r w:rsidR="00E74296">
        <w:rPr>
          <w:rFonts w:ascii="Times New Roman" w:hAnsi="Times New Roman" w:cs="Times New Roman"/>
        </w:rPr>
        <w:lastRenderedPageBreak/>
        <w:t>combinations of H</w:t>
      </w:r>
      <w:r w:rsidR="00E74296" w:rsidRPr="00D61BC9">
        <w:rPr>
          <w:rFonts w:ascii="Times New Roman" w:hAnsi="Times New Roman" w:cs="Times New Roman"/>
          <w:vertAlign w:val="subscript"/>
        </w:rPr>
        <w:t>2</w:t>
      </w:r>
      <w:r w:rsidR="00E74296">
        <w:rPr>
          <w:rFonts w:ascii="Times New Roman" w:hAnsi="Times New Roman" w:cs="Times New Roman"/>
        </w:rPr>
        <w:t>O-CO</w:t>
      </w:r>
      <w:r w:rsidR="00E74296" w:rsidRPr="00D61BC9">
        <w:rPr>
          <w:rFonts w:ascii="Times New Roman" w:hAnsi="Times New Roman" w:cs="Times New Roman"/>
          <w:vertAlign w:val="subscript"/>
        </w:rPr>
        <w:t>2</w:t>
      </w:r>
      <w:r w:rsidR="00E74296">
        <w:rPr>
          <w:rFonts w:ascii="Times New Roman" w:hAnsi="Times New Roman" w:cs="Times New Roman"/>
        </w:rPr>
        <w:t>.</w:t>
      </w:r>
      <w:r w:rsidR="00F5353B">
        <w:rPr>
          <w:rFonts w:ascii="Times New Roman" w:hAnsi="Times New Roman" w:cs="Times New Roman"/>
        </w:rPr>
        <w:t xml:space="preserve"> The model used in this study and </w:t>
      </w:r>
      <w:proofErr w:type="spellStart"/>
      <w:r w:rsidR="00F5353B">
        <w:rPr>
          <w:rFonts w:ascii="Times New Roman" w:hAnsi="Times New Roman" w:cs="Times New Roman"/>
        </w:rPr>
        <w:t>VolatileCalc</w:t>
      </w:r>
      <w:proofErr w:type="spellEnd"/>
      <w:r w:rsidR="00F5353B">
        <w:rPr>
          <w:rFonts w:ascii="Times New Roman" w:hAnsi="Times New Roman" w:cs="Times New Roman"/>
        </w:rPr>
        <w:t xml:space="preserve"> are most similar, reflecting that they use similar carbonate solubilities (the curves converge as H</w:t>
      </w:r>
      <w:r w:rsidR="00F5353B" w:rsidRPr="000B6300">
        <w:rPr>
          <w:rFonts w:ascii="Times New Roman" w:hAnsi="Times New Roman" w:cs="Times New Roman"/>
          <w:vertAlign w:val="subscript"/>
        </w:rPr>
        <w:t>2</w:t>
      </w:r>
      <w:r w:rsidR="00F5353B">
        <w:rPr>
          <w:rFonts w:ascii="Times New Roman" w:hAnsi="Times New Roman" w:cs="Times New Roman"/>
        </w:rPr>
        <w:t xml:space="preserve">O </w:t>
      </w:r>
      <w:r w:rsidR="00F5353B" w:rsidRPr="00F5353B">
        <w:rPr>
          <w:rFonts w:ascii="Times New Roman" w:hAnsi="Times New Roman" w:cs="Times New Roman"/>
        </w:rPr>
        <w:t>→</w:t>
      </w:r>
      <w:r w:rsidR="00F5353B">
        <w:rPr>
          <w:rFonts w:ascii="Times New Roman" w:hAnsi="Times New Roman" w:cs="Times New Roman"/>
        </w:rPr>
        <w:t xml:space="preserve"> 0 </w:t>
      </w:r>
      <w:proofErr w:type="spellStart"/>
      <w:r w:rsidR="00F5353B">
        <w:rPr>
          <w:rFonts w:ascii="Times New Roman" w:hAnsi="Times New Roman" w:cs="Times New Roman"/>
        </w:rPr>
        <w:t>wt</w:t>
      </w:r>
      <w:proofErr w:type="spellEnd"/>
      <w:r w:rsidR="00F5353B">
        <w:rPr>
          <w:rFonts w:ascii="Times New Roman" w:hAnsi="Times New Roman" w:cs="Times New Roman"/>
        </w:rPr>
        <w:t>% at 1000 ppm CO</w:t>
      </w:r>
      <w:r w:rsidR="00F5353B" w:rsidRPr="00D61BC9">
        <w:rPr>
          <w:rFonts w:ascii="Times New Roman" w:hAnsi="Times New Roman" w:cs="Times New Roman"/>
          <w:vertAlign w:val="subscript"/>
        </w:rPr>
        <w:t>2</w:t>
      </w:r>
      <w:r w:rsidR="00F5353B">
        <w:rPr>
          <w:rFonts w:ascii="Times New Roman" w:hAnsi="Times New Roman" w:cs="Times New Roman"/>
        </w:rPr>
        <w:t xml:space="preserve">; </w:t>
      </w:r>
      <w:r w:rsidR="00F5353B" w:rsidRPr="000E0AC9">
        <w:rPr>
          <w:rFonts w:ascii="Times New Roman" w:hAnsi="Times New Roman" w:cs="Times New Roman"/>
        </w:rPr>
        <w:fldChar w:fldCharType="begin"/>
      </w:r>
      <w:r w:rsidR="00F5353B" w:rsidRPr="000E0AC9">
        <w:rPr>
          <w:rFonts w:ascii="Times New Roman" w:hAnsi="Times New Roman" w:cs="Times New Roman"/>
        </w:rPr>
        <w:instrText xml:space="preserve"> REF _Ref118661942 \h  \* MERGEFORMAT </w:instrText>
      </w:r>
      <w:r w:rsidR="00F5353B" w:rsidRPr="000E0AC9">
        <w:rPr>
          <w:rFonts w:ascii="Times New Roman" w:hAnsi="Times New Roman" w:cs="Times New Roman"/>
        </w:rPr>
      </w:r>
      <w:r w:rsidR="00F5353B" w:rsidRPr="000E0AC9">
        <w:rPr>
          <w:rFonts w:ascii="Times New Roman" w:hAnsi="Times New Roman" w:cs="Times New Roman"/>
        </w:rPr>
        <w:fldChar w:fldCharType="separate"/>
      </w:r>
      <w:r w:rsidR="008E2A36" w:rsidRPr="00147AF9">
        <w:rPr>
          <w:rFonts w:ascii="Times New Roman" w:hAnsi="Times New Roman" w:cs="Times New Roman"/>
          <w:color w:val="000000" w:themeColor="text1"/>
        </w:rPr>
        <w:t>Figure S8</w:t>
      </w:r>
      <w:r w:rsidR="00F5353B" w:rsidRPr="000E0AC9">
        <w:rPr>
          <w:rFonts w:ascii="Times New Roman" w:hAnsi="Times New Roman" w:cs="Times New Roman"/>
        </w:rPr>
        <w:fldChar w:fldCharType="end"/>
      </w:r>
      <w:r w:rsidR="00F5353B">
        <w:rPr>
          <w:rFonts w:ascii="Times New Roman" w:hAnsi="Times New Roman" w:cs="Times New Roman"/>
        </w:rPr>
        <w:t xml:space="preserve">) and similar water solubilities (the curves </w:t>
      </w:r>
      <w:r w:rsidR="005874BF">
        <w:rPr>
          <w:rFonts w:ascii="Times New Roman" w:hAnsi="Times New Roman" w:cs="Times New Roman"/>
        </w:rPr>
        <w:t>have similar values at</w:t>
      </w:r>
      <w:r w:rsidR="00F5353B">
        <w:rPr>
          <w:rFonts w:ascii="Times New Roman" w:hAnsi="Times New Roman" w:cs="Times New Roman"/>
        </w:rPr>
        <w:t xml:space="preserve"> </w:t>
      </w:r>
      <w:r w:rsidR="005874BF">
        <w:rPr>
          <w:rFonts w:ascii="Times New Roman" w:hAnsi="Times New Roman" w:cs="Times New Roman"/>
        </w:rPr>
        <w:t xml:space="preserve">0 ppm </w:t>
      </w:r>
      <w:r w:rsidR="00F5353B">
        <w:rPr>
          <w:rFonts w:ascii="Times New Roman" w:hAnsi="Times New Roman" w:cs="Times New Roman"/>
        </w:rPr>
        <w:t>CO</w:t>
      </w:r>
      <w:r w:rsidR="00F5353B" w:rsidRPr="000B6300">
        <w:rPr>
          <w:rFonts w:ascii="Times New Roman" w:hAnsi="Times New Roman" w:cs="Times New Roman"/>
          <w:vertAlign w:val="subscript"/>
        </w:rPr>
        <w:t>2</w:t>
      </w:r>
      <w:r w:rsidR="00F5353B">
        <w:rPr>
          <w:rFonts w:ascii="Times New Roman" w:hAnsi="Times New Roman" w:cs="Times New Roman"/>
        </w:rPr>
        <w:t xml:space="preserve"> at 3 </w:t>
      </w:r>
      <w:proofErr w:type="spellStart"/>
      <w:r w:rsidR="00F5353B">
        <w:rPr>
          <w:rFonts w:ascii="Times New Roman" w:hAnsi="Times New Roman" w:cs="Times New Roman"/>
        </w:rPr>
        <w:t>wt</w:t>
      </w:r>
      <w:proofErr w:type="spellEnd"/>
      <w:r w:rsidR="00F5353B">
        <w:rPr>
          <w:rFonts w:ascii="Times New Roman" w:hAnsi="Times New Roman" w:cs="Times New Roman"/>
        </w:rPr>
        <w:t>% H</w:t>
      </w:r>
      <w:r w:rsidR="00F5353B" w:rsidRPr="000B6300">
        <w:rPr>
          <w:rFonts w:ascii="Times New Roman" w:hAnsi="Times New Roman" w:cs="Times New Roman"/>
          <w:vertAlign w:val="subscript"/>
        </w:rPr>
        <w:t>2</w:t>
      </w:r>
      <w:r w:rsidR="00F5353B">
        <w:rPr>
          <w:rFonts w:ascii="Times New Roman" w:hAnsi="Times New Roman" w:cs="Times New Roman"/>
        </w:rPr>
        <w:t xml:space="preserve">O; </w:t>
      </w:r>
      <w:r w:rsidR="00F5353B" w:rsidRPr="000E0AC9">
        <w:rPr>
          <w:rFonts w:ascii="Times New Roman" w:hAnsi="Times New Roman" w:cs="Times New Roman"/>
        </w:rPr>
        <w:fldChar w:fldCharType="begin"/>
      </w:r>
      <w:r w:rsidR="00F5353B" w:rsidRPr="000E0AC9">
        <w:rPr>
          <w:rFonts w:ascii="Times New Roman" w:hAnsi="Times New Roman" w:cs="Times New Roman"/>
        </w:rPr>
        <w:instrText xml:space="preserve"> REF _Ref118661943 \h  \* MERGEFORMAT </w:instrText>
      </w:r>
      <w:r w:rsidR="00F5353B" w:rsidRPr="000E0AC9">
        <w:rPr>
          <w:rFonts w:ascii="Times New Roman" w:hAnsi="Times New Roman" w:cs="Times New Roman"/>
        </w:rPr>
      </w:r>
      <w:r w:rsidR="00F5353B" w:rsidRPr="000E0AC9">
        <w:rPr>
          <w:rFonts w:ascii="Times New Roman" w:hAnsi="Times New Roman" w:cs="Times New Roman"/>
        </w:rPr>
        <w:fldChar w:fldCharType="separate"/>
      </w:r>
      <w:r w:rsidR="008E2A36" w:rsidRPr="00147AF9">
        <w:rPr>
          <w:rFonts w:ascii="Times New Roman" w:hAnsi="Times New Roman" w:cs="Times New Roman"/>
          <w:color w:val="000000" w:themeColor="text1"/>
        </w:rPr>
        <w:t>Figure S9</w:t>
      </w:r>
      <w:r w:rsidR="00F5353B" w:rsidRPr="000E0AC9">
        <w:rPr>
          <w:rFonts w:ascii="Times New Roman" w:hAnsi="Times New Roman" w:cs="Times New Roman"/>
        </w:rPr>
        <w:fldChar w:fldCharType="end"/>
      </w:r>
      <w:r w:rsidR="00F5353B">
        <w:rPr>
          <w:rFonts w:ascii="Times New Roman" w:hAnsi="Times New Roman" w:cs="Times New Roman"/>
        </w:rPr>
        <w:t xml:space="preserve">). </w:t>
      </w:r>
      <w:proofErr w:type="spellStart"/>
      <w:r w:rsidR="00F5353B">
        <w:rPr>
          <w:rFonts w:ascii="Times New Roman" w:hAnsi="Times New Roman" w:cs="Times New Roman"/>
        </w:rPr>
        <w:t>MafiCH</w:t>
      </w:r>
      <w:proofErr w:type="spellEnd"/>
      <w:r w:rsidR="00F5353B">
        <w:rPr>
          <w:rFonts w:ascii="Times New Roman" w:hAnsi="Times New Roman" w:cs="Times New Roman"/>
        </w:rPr>
        <w:t xml:space="preserve"> also has a similar water solubility</w:t>
      </w:r>
      <w:r w:rsidR="000C0E42">
        <w:rPr>
          <w:rFonts w:ascii="Times New Roman" w:hAnsi="Times New Roman" w:cs="Times New Roman"/>
        </w:rPr>
        <w:t xml:space="preserve"> (</w:t>
      </w:r>
      <w:r w:rsidR="000C0E42" w:rsidRPr="000E0AC9">
        <w:rPr>
          <w:rFonts w:ascii="Times New Roman" w:hAnsi="Times New Roman" w:cs="Times New Roman"/>
        </w:rPr>
        <w:fldChar w:fldCharType="begin"/>
      </w:r>
      <w:r w:rsidR="000C0E42" w:rsidRPr="000E0AC9">
        <w:rPr>
          <w:rFonts w:ascii="Times New Roman" w:hAnsi="Times New Roman" w:cs="Times New Roman"/>
        </w:rPr>
        <w:instrText xml:space="preserve"> REF _Ref118661943 \h  \* MERGEFORMAT </w:instrText>
      </w:r>
      <w:r w:rsidR="000C0E42" w:rsidRPr="000E0AC9">
        <w:rPr>
          <w:rFonts w:ascii="Times New Roman" w:hAnsi="Times New Roman" w:cs="Times New Roman"/>
        </w:rPr>
      </w:r>
      <w:r w:rsidR="000C0E42" w:rsidRPr="000E0AC9">
        <w:rPr>
          <w:rFonts w:ascii="Times New Roman" w:hAnsi="Times New Roman" w:cs="Times New Roman"/>
        </w:rPr>
        <w:fldChar w:fldCharType="separate"/>
      </w:r>
      <w:r w:rsidR="008E2A36" w:rsidRPr="00147AF9">
        <w:rPr>
          <w:rFonts w:ascii="Times New Roman" w:hAnsi="Times New Roman" w:cs="Times New Roman"/>
          <w:color w:val="000000" w:themeColor="text1"/>
        </w:rPr>
        <w:t>Figure S9</w:t>
      </w:r>
      <w:r w:rsidR="000C0E42" w:rsidRPr="000E0AC9">
        <w:rPr>
          <w:rFonts w:ascii="Times New Roman" w:hAnsi="Times New Roman" w:cs="Times New Roman"/>
        </w:rPr>
        <w:fldChar w:fldCharType="end"/>
      </w:r>
      <w:r w:rsidR="000C0E42">
        <w:rPr>
          <w:rFonts w:ascii="Times New Roman" w:hAnsi="Times New Roman" w:cs="Times New Roman"/>
        </w:rPr>
        <w:t xml:space="preserve">). The carbonate </w:t>
      </w:r>
      <w:r w:rsidR="005874BF">
        <w:rPr>
          <w:rFonts w:ascii="Times New Roman" w:hAnsi="Times New Roman" w:cs="Times New Roman"/>
        </w:rPr>
        <w:t>solubility functions</w:t>
      </w:r>
      <w:r w:rsidR="000C0E42">
        <w:rPr>
          <w:rFonts w:ascii="Times New Roman" w:hAnsi="Times New Roman" w:cs="Times New Roman"/>
        </w:rPr>
        <w:t xml:space="preserve"> </w:t>
      </w:r>
      <w:r w:rsidR="005874BF">
        <w:rPr>
          <w:rFonts w:ascii="Times New Roman" w:hAnsi="Times New Roman" w:cs="Times New Roman"/>
        </w:rPr>
        <w:t>of</w:t>
      </w:r>
      <w:r w:rsidR="000C0E42">
        <w:rPr>
          <w:rFonts w:ascii="Times New Roman" w:hAnsi="Times New Roman" w:cs="Times New Roman"/>
        </w:rPr>
        <w:t xml:space="preserve"> </w:t>
      </w:r>
      <w:proofErr w:type="spellStart"/>
      <w:r w:rsidR="000C0E42">
        <w:rPr>
          <w:rFonts w:ascii="Times New Roman" w:hAnsi="Times New Roman" w:cs="Times New Roman"/>
        </w:rPr>
        <w:t>MafiC</w:t>
      </w:r>
      <w:proofErr w:type="spellEnd"/>
      <w:r w:rsidR="00014C46">
        <w:rPr>
          <w:rFonts w:ascii="Times New Roman" w:hAnsi="Times New Roman" w:cs="Times New Roman"/>
        </w:rPr>
        <w:t xml:space="preserve"> and</w:t>
      </w:r>
      <w:r w:rsidR="000C0E42">
        <w:rPr>
          <w:rFonts w:ascii="Times New Roman" w:hAnsi="Times New Roman" w:cs="Times New Roman"/>
        </w:rPr>
        <w:t xml:space="preserve"> </w:t>
      </w:r>
      <w:proofErr w:type="spellStart"/>
      <w:r w:rsidR="000C0E42">
        <w:rPr>
          <w:rFonts w:ascii="Times New Roman" w:hAnsi="Times New Roman" w:cs="Times New Roman"/>
        </w:rPr>
        <w:t>MagmaSat</w:t>
      </w:r>
      <w:proofErr w:type="spellEnd"/>
      <w:r w:rsidR="00014C46">
        <w:rPr>
          <w:rFonts w:ascii="Times New Roman" w:hAnsi="Times New Roman" w:cs="Times New Roman"/>
        </w:rPr>
        <w:t xml:space="preserve"> differ considerably from those of </w:t>
      </w:r>
      <w:proofErr w:type="spellStart"/>
      <w:r w:rsidR="000C0E42">
        <w:rPr>
          <w:rFonts w:ascii="Times New Roman" w:hAnsi="Times New Roman" w:cs="Times New Roman"/>
        </w:rPr>
        <w:t>VolatileCalc</w:t>
      </w:r>
      <w:proofErr w:type="spellEnd"/>
      <w:r w:rsidR="00014C46">
        <w:rPr>
          <w:rFonts w:ascii="Times New Roman" w:hAnsi="Times New Roman" w:cs="Times New Roman"/>
        </w:rPr>
        <w:t xml:space="preserve"> and the one used in </w:t>
      </w:r>
      <w:r w:rsidR="000C0E42">
        <w:rPr>
          <w:rFonts w:ascii="Times New Roman" w:hAnsi="Times New Roman" w:cs="Times New Roman"/>
        </w:rPr>
        <w:t xml:space="preserve">this study, </w:t>
      </w:r>
      <w:r w:rsidR="00014C46">
        <w:rPr>
          <w:rFonts w:ascii="Times New Roman" w:hAnsi="Times New Roman" w:cs="Times New Roman"/>
        </w:rPr>
        <w:t xml:space="preserve">as </w:t>
      </w:r>
      <w:r w:rsidR="000C0E42">
        <w:rPr>
          <w:rFonts w:ascii="Times New Roman" w:hAnsi="Times New Roman" w:cs="Times New Roman"/>
        </w:rPr>
        <w:t xml:space="preserve">shown by the large difference in </w:t>
      </w:r>
      <w:proofErr w:type="spellStart"/>
      <w:r w:rsidR="000C0E42" w:rsidRPr="000B6300">
        <w:rPr>
          <w:rFonts w:ascii="Times New Roman" w:hAnsi="Times New Roman" w:cs="Times New Roman"/>
          <w:i/>
          <w:iCs/>
        </w:rPr>
        <w:t>P</w:t>
      </w:r>
      <w:r w:rsidR="000C0E42" w:rsidRPr="000B6300">
        <w:rPr>
          <w:rFonts w:ascii="Times New Roman" w:hAnsi="Times New Roman" w:cs="Times New Roman"/>
          <w:i/>
          <w:iCs/>
          <w:vertAlign w:val="superscript"/>
        </w:rPr>
        <w:t>v</w:t>
      </w:r>
      <w:r w:rsidR="000C0E42" w:rsidRPr="000B6300">
        <w:rPr>
          <w:rFonts w:ascii="Times New Roman" w:hAnsi="Times New Roman" w:cs="Times New Roman"/>
          <w:vertAlign w:val="subscript"/>
        </w:rPr>
        <w:t>sat</w:t>
      </w:r>
      <w:proofErr w:type="spellEnd"/>
      <w:r w:rsidR="000C0E42">
        <w:rPr>
          <w:rFonts w:ascii="Times New Roman" w:hAnsi="Times New Roman" w:cs="Times New Roman"/>
        </w:rPr>
        <w:t xml:space="preserve"> at 0 </w:t>
      </w:r>
      <w:proofErr w:type="spellStart"/>
      <w:r w:rsidR="000C0E42">
        <w:rPr>
          <w:rFonts w:ascii="Times New Roman" w:hAnsi="Times New Roman" w:cs="Times New Roman"/>
        </w:rPr>
        <w:t>wt</w:t>
      </w:r>
      <w:proofErr w:type="spellEnd"/>
      <w:r w:rsidR="000C0E42">
        <w:rPr>
          <w:rFonts w:ascii="Times New Roman" w:hAnsi="Times New Roman" w:cs="Times New Roman"/>
        </w:rPr>
        <w:t>% H</w:t>
      </w:r>
      <w:r w:rsidR="000C0E42" w:rsidRPr="000B6300">
        <w:rPr>
          <w:rFonts w:ascii="Times New Roman" w:hAnsi="Times New Roman" w:cs="Times New Roman"/>
          <w:vertAlign w:val="subscript"/>
        </w:rPr>
        <w:t>2</w:t>
      </w:r>
      <w:r w:rsidR="000C0E42">
        <w:rPr>
          <w:rFonts w:ascii="Times New Roman" w:hAnsi="Times New Roman" w:cs="Times New Roman"/>
        </w:rPr>
        <w:t>O and 1000 ppm CO</w:t>
      </w:r>
      <w:r w:rsidR="000C0E42" w:rsidRPr="000B6300">
        <w:rPr>
          <w:rFonts w:ascii="Times New Roman" w:hAnsi="Times New Roman" w:cs="Times New Roman"/>
          <w:vertAlign w:val="subscript"/>
        </w:rPr>
        <w:t>2</w:t>
      </w:r>
      <w:r w:rsidR="000C0E42">
        <w:rPr>
          <w:rFonts w:ascii="Times New Roman" w:hAnsi="Times New Roman" w:cs="Times New Roman"/>
        </w:rPr>
        <w:t xml:space="preserve"> (or 1 </w:t>
      </w:r>
      <w:proofErr w:type="spellStart"/>
      <w:r w:rsidR="000C0E42">
        <w:rPr>
          <w:rFonts w:ascii="Times New Roman" w:hAnsi="Times New Roman" w:cs="Times New Roman"/>
        </w:rPr>
        <w:t>wt</w:t>
      </w:r>
      <w:proofErr w:type="spellEnd"/>
      <w:r w:rsidR="000C0E42">
        <w:rPr>
          <w:rFonts w:ascii="Times New Roman" w:hAnsi="Times New Roman" w:cs="Times New Roman"/>
        </w:rPr>
        <w:t>% H</w:t>
      </w:r>
      <w:r w:rsidR="000C0E42" w:rsidRPr="000B6300">
        <w:rPr>
          <w:rFonts w:ascii="Times New Roman" w:hAnsi="Times New Roman" w:cs="Times New Roman"/>
          <w:vertAlign w:val="subscript"/>
        </w:rPr>
        <w:t>2</w:t>
      </w:r>
      <w:r w:rsidR="000C0E42">
        <w:rPr>
          <w:rFonts w:ascii="Times New Roman" w:hAnsi="Times New Roman" w:cs="Times New Roman"/>
        </w:rPr>
        <w:t xml:space="preserve">O for </w:t>
      </w:r>
      <w:proofErr w:type="spellStart"/>
      <w:r w:rsidR="000C0E42">
        <w:rPr>
          <w:rFonts w:ascii="Times New Roman" w:hAnsi="Times New Roman" w:cs="Times New Roman"/>
        </w:rPr>
        <w:t>MagmaSat</w:t>
      </w:r>
      <w:proofErr w:type="spellEnd"/>
      <w:r w:rsidR="000C0E42">
        <w:rPr>
          <w:rFonts w:ascii="Times New Roman" w:hAnsi="Times New Roman" w:cs="Times New Roman"/>
        </w:rPr>
        <w:t xml:space="preserve">; </w:t>
      </w:r>
      <w:r w:rsidR="000C0E42" w:rsidRPr="000E0AC9">
        <w:rPr>
          <w:rFonts w:ascii="Times New Roman" w:hAnsi="Times New Roman" w:cs="Times New Roman"/>
        </w:rPr>
        <w:fldChar w:fldCharType="begin"/>
      </w:r>
      <w:r w:rsidR="000C0E42" w:rsidRPr="000E0AC9">
        <w:rPr>
          <w:rFonts w:ascii="Times New Roman" w:hAnsi="Times New Roman" w:cs="Times New Roman"/>
        </w:rPr>
        <w:instrText xml:space="preserve"> REF _Ref118661942 \h  \* MERGEFORMAT </w:instrText>
      </w:r>
      <w:r w:rsidR="000C0E42" w:rsidRPr="000E0AC9">
        <w:rPr>
          <w:rFonts w:ascii="Times New Roman" w:hAnsi="Times New Roman" w:cs="Times New Roman"/>
        </w:rPr>
      </w:r>
      <w:r w:rsidR="000C0E42" w:rsidRPr="000E0AC9">
        <w:rPr>
          <w:rFonts w:ascii="Times New Roman" w:hAnsi="Times New Roman" w:cs="Times New Roman"/>
        </w:rPr>
        <w:fldChar w:fldCharType="separate"/>
      </w:r>
      <w:r w:rsidR="008E2A36" w:rsidRPr="00147AF9">
        <w:rPr>
          <w:rFonts w:ascii="Times New Roman" w:hAnsi="Times New Roman" w:cs="Times New Roman"/>
          <w:color w:val="000000" w:themeColor="text1"/>
        </w:rPr>
        <w:t>Figure S8</w:t>
      </w:r>
      <w:r w:rsidR="000C0E42" w:rsidRPr="000E0AC9">
        <w:rPr>
          <w:rFonts w:ascii="Times New Roman" w:hAnsi="Times New Roman" w:cs="Times New Roman"/>
        </w:rPr>
        <w:fldChar w:fldCharType="end"/>
      </w:r>
      <w:r w:rsidR="000C0E42">
        <w:rPr>
          <w:rFonts w:ascii="Times New Roman" w:hAnsi="Times New Roman" w:cs="Times New Roman"/>
        </w:rPr>
        <w:t xml:space="preserve">). This highlights the sensitivity of </w:t>
      </w:r>
      <w:proofErr w:type="spellStart"/>
      <w:r w:rsidR="000C0E42" w:rsidRPr="000B6300">
        <w:rPr>
          <w:rFonts w:ascii="Times New Roman" w:hAnsi="Times New Roman" w:cs="Times New Roman"/>
          <w:i/>
          <w:iCs/>
        </w:rPr>
        <w:t>P</w:t>
      </w:r>
      <w:r w:rsidR="000C0E42" w:rsidRPr="000B6300">
        <w:rPr>
          <w:rFonts w:ascii="Times New Roman" w:hAnsi="Times New Roman" w:cs="Times New Roman"/>
          <w:i/>
          <w:iCs/>
          <w:vertAlign w:val="superscript"/>
        </w:rPr>
        <w:t>v</w:t>
      </w:r>
      <w:r w:rsidR="000C0E42" w:rsidRPr="000B6300">
        <w:rPr>
          <w:rFonts w:ascii="Times New Roman" w:hAnsi="Times New Roman" w:cs="Times New Roman"/>
          <w:vertAlign w:val="subscript"/>
        </w:rPr>
        <w:t>sat</w:t>
      </w:r>
      <w:proofErr w:type="spellEnd"/>
      <w:r w:rsidR="000C0E42">
        <w:rPr>
          <w:rFonts w:ascii="Times New Roman" w:hAnsi="Times New Roman" w:cs="Times New Roman"/>
        </w:rPr>
        <w:t xml:space="preserve"> calculations to carbonate solubility and that an accurate model for carbonate </w:t>
      </w:r>
      <w:r w:rsidR="00D61BC9">
        <w:rPr>
          <w:rFonts w:ascii="Times New Roman" w:hAnsi="Times New Roman" w:cs="Times New Roman"/>
        </w:rPr>
        <w:t>solubility</w:t>
      </w:r>
      <w:r w:rsidR="000C0E42">
        <w:rPr>
          <w:rFonts w:ascii="Times New Roman" w:hAnsi="Times New Roman" w:cs="Times New Roman"/>
        </w:rPr>
        <w:t xml:space="preserve"> in basalts is still to be found</w:t>
      </w:r>
      <w:r w:rsidR="00D61BC9">
        <w:rPr>
          <w:rFonts w:ascii="Times New Roman" w:hAnsi="Times New Roman" w:cs="Times New Roman"/>
        </w:rPr>
        <w:t xml:space="preserve"> </w:t>
      </w:r>
      <w:r w:rsidR="00D61BC9">
        <w:rPr>
          <w:rFonts w:ascii="Times New Roman" w:hAnsi="Times New Roman" w:cs="Times New Roman"/>
        </w:rPr>
        <w:fldChar w:fldCharType="begin" w:fldLock="1"/>
      </w:r>
      <w:r w:rsidR="00E0491E">
        <w:rPr>
          <w:rFonts w:ascii="Times New Roman" w:hAnsi="Times New Roman" w:cs="Times New Roman"/>
        </w:rPr>
        <w:instrText>ADDIN CSL_CITATION {"citationItems":[{"id":"ITEM-1","itemData":{"DOI":"10.1029/2021EA001932","ISSN":"2333-5084","abstract":"Accurate models of H2O and CO2 solubility in silicate melts are vital for understanding volcanic plumbing systems. These models are used to estimate the depths of magma storage regions from melt inclusion volatile contents, investigate the role of volatile exsolution as a driver of volcanic eruptions, and track the degassing path followed by a magma ascending to the surface. However, despite the large increase in the number of experimental constraints over the last two decades, many recent studies still utilize an earlier generation of models which were calibrated on experimental datasets with restricted compositional ranges. This may be because many of the available tools for more recent models require large numbers of input parameters to be hand-typed (e.g., temperature, concentrations of H2O, CO2, and 8–14 oxides), making them difficult to implement on large datasets. Here, we use a new open-source Python3 tool, VESIcal, to critically evaluate the behaviors and sensitivities of different solubility models for a range of melt compositions. Using literature datasets of andesitic-dacitic experimental products and melt inclusions as case studies, we illustrate the importance of evaluating the calibration dataset of each model. Finally, we highlight the limitations of particular data presentation methods, such as isobar diagrams, and provide suggestions for alternatives, and best practices regarding the presentation and archiving of data. This review will aid the selection of the most applicable solubility model for different melt compositions, and identifies areas where additional experimental constraints on volatile solubility are required.","author":[{"dropping-particle":"","family":"Wieser","given":"P. E.","non-dropping-particle":"","parse-names":false,"suffix":""},{"dropping-particle":"","family":"Iacovino","given":"K.","non-dropping-particle":"","parse-names":false,"suffix":""},{"dropping-particle":"","family":"Matthews","given":"S.","non-dropping-particle":"","parse-names":false,"suffix":""},{"dropping-particle":"","family":"Moore","given":"G.","non-dropping-particle":"","parse-names":false,"suffix":""},{"dropping-particle":"","family":"Allison","given":"Chelsea M.","non-dropping-particle":"","parse-names":false,"suffix":""}],"container-title":"Earth and Space Science","id":"ITEM-1","issue":"2","issued":{"date-parts":[["2022","2","1"]]},"page":"e2021EA001932","publisher":"John Wiley &amp; Sons, Ltd","title":"VESIcal: 2. A Critical Approach to Volatile Solubility Modeling Using an Open-Source Python3 Engine","type":"article-journal","volume":"9"},"uris":["http://www.mendeley.com/documents/?uuid=06bae07b-d82c-35f7-a222-7af88c186174"]}],"mendeley":{"formattedCitation":"(Wieser et al., 2022)","manualFormatting":"(e.g., Wieser et al., 2022)","plainTextFormattedCitation":"(Wieser et al., 2022)","previouslyFormattedCitation":"(Wieser et al., 2022)"},"properties":{"noteIndex":0},"schema":"https://github.com/citation-style-language/schema/raw/master/csl-citation.json"}</w:instrText>
      </w:r>
      <w:r w:rsidR="00D61BC9">
        <w:rPr>
          <w:rFonts w:ascii="Times New Roman" w:hAnsi="Times New Roman" w:cs="Times New Roman"/>
        </w:rPr>
        <w:fldChar w:fldCharType="separate"/>
      </w:r>
      <w:r w:rsidR="00D61BC9" w:rsidRPr="00D61BC9">
        <w:rPr>
          <w:rFonts w:ascii="Times New Roman" w:hAnsi="Times New Roman" w:cs="Times New Roman"/>
          <w:noProof/>
        </w:rPr>
        <w:t>(</w:t>
      </w:r>
      <w:r w:rsidR="00D61BC9">
        <w:rPr>
          <w:rFonts w:ascii="Times New Roman" w:hAnsi="Times New Roman" w:cs="Times New Roman"/>
          <w:noProof/>
        </w:rPr>
        <w:t xml:space="preserve">e.g., </w:t>
      </w:r>
      <w:r w:rsidR="00D61BC9" w:rsidRPr="00D61BC9">
        <w:rPr>
          <w:rFonts w:ascii="Times New Roman" w:hAnsi="Times New Roman" w:cs="Times New Roman"/>
          <w:noProof/>
        </w:rPr>
        <w:t>Wieser et al., 2022)</w:t>
      </w:r>
      <w:r w:rsidR="00D61BC9">
        <w:rPr>
          <w:rFonts w:ascii="Times New Roman" w:hAnsi="Times New Roman" w:cs="Times New Roman"/>
        </w:rPr>
        <w:fldChar w:fldCharType="end"/>
      </w:r>
      <w:r w:rsidR="000C0E42">
        <w:rPr>
          <w:rFonts w:ascii="Times New Roman" w:hAnsi="Times New Roman" w:cs="Times New Roman"/>
        </w:rPr>
        <w:t>.</w:t>
      </w:r>
    </w:p>
    <w:p w14:paraId="59013451" w14:textId="77777777" w:rsidR="008E2A36" w:rsidRPr="0022237F" w:rsidRDefault="008E2A36" w:rsidP="00FC51E7">
      <w:pPr>
        <w:pStyle w:val="Caption"/>
        <w:keepNext/>
        <w:spacing w:after="0"/>
        <w:ind w:firstLine="0"/>
        <w:rPr>
          <w:color w:val="000000" w:themeColor="text1"/>
          <w:sz w:val="24"/>
          <w:szCs w:val="24"/>
        </w:rPr>
      </w:pPr>
    </w:p>
    <w:p w14:paraId="3BA08710" w14:textId="291B9D03" w:rsidR="005339B8" w:rsidRDefault="005339B8" w:rsidP="00884265"/>
    <w:p w14:paraId="23633C15" w14:textId="1E40E95C" w:rsidR="00CD3D14" w:rsidRDefault="00CD3D14" w:rsidP="0022237F">
      <w:pPr>
        <w:pStyle w:val="Heading1"/>
        <w:spacing w:after="200"/>
      </w:pPr>
      <w:r>
        <w:t>Additional discussion for “</w:t>
      </w:r>
      <w:proofErr w:type="spellStart"/>
      <w:r w:rsidRPr="003C231C">
        <w:rPr>
          <w:i/>
          <w:iCs/>
        </w:rPr>
        <w:t>P</w:t>
      </w:r>
      <w:r>
        <w:rPr>
          <w:i/>
          <w:iCs/>
          <w:vertAlign w:val="superscript"/>
        </w:rPr>
        <w:t>v</w:t>
      </w:r>
      <w:r w:rsidRPr="003C231C">
        <w:rPr>
          <w:vertAlign w:val="subscript"/>
        </w:rPr>
        <w:t>sat</w:t>
      </w:r>
      <w:proofErr w:type="spellEnd"/>
      <w:r>
        <w:t xml:space="preserve"> for a reference case with fixed total volatile concentrations in the melt”</w:t>
      </w:r>
    </w:p>
    <w:p w14:paraId="159FA8CE" w14:textId="77777777" w:rsidR="00CD3D14" w:rsidRPr="00884265" w:rsidRDefault="00CD3D14" w:rsidP="00884265"/>
    <w:p w14:paraId="12B2AB27" w14:textId="00E1D24E" w:rsidR="00500516" w:rsidRPr="00500516" w:rsidRDefault="00500516" w:rsidP="0022237F">
      <w:pPr>
        <w:pStyle w:val="Heading2"/>
        <w:spacing w:after="200"/>
      </w:pPr>
      <w:r>
        <w:t>Derivation</w:t>
      </w:r>
      <w:r w:rsidR="003C231C">
        <w:t xml:space="preserve"> of proportionality between </w:t>
      </w:r>
      <w:r w:rsidR="003C231C" w:rsidRPr="003C231C">
        <w:rPr>
          <w:iCs/>
        </w:rPr>
        <w:t>p</w:t>
      </w:r>
      <w:r w:rsidR="003C231C" w:rsidRPr="003C231C">
        <w:rPr>
          <w:vertAlign w:val="subscript"/>
        </w:rPr>
        <w:t>SO2</w:t>
      </w:r>
      <w:r w:rsidR="003C231C">
        <w:t xml:space="preserve"> and </w:t>
      </w:r>
      <w:proofErr w:type="spellStart"/>
      <w:r w:rsidR="003C231C" w:rsidRPr="003C231C">
        <w:rPr>
          <w:iCs/>
        </w:rPr>
        <w:t>w</w:t>
      </w:r>
      <w:r w:rsidR="003C231C" w:rsidRPr="003C231C">
        <w:rPr>
          <w:iCs/>
          <w:vertAlign w:val="superscript"/>
        </w:rPr>
        <w:t>m</w:t>
      </w:r>
      <w:r w:rsidR="003C231C" w:rsidRPr="003C231C">
        <w:rPr>
          <w:vertAlign w:val="subscript"/>
        </w:rPr>
        <w:t>ST</w:t>
      </w:r>
      <w:proofErr w:type="spellEnd"/>
    </w:p>
    <w:p w14:paraId="399D0A39" w14:textId="5A052D90" w:rsidR="004F6A5D" w:rsidRDefault="0053339C" w:rsidP="00147AF9">
      <w:pPr>
        <w:ind w:firstLine="720"/>
        <w:jc w:val="both"/>
        <w:rPr>
          <w:rFonts w:ascii="Times New Roman" w:hAnsi="Times New Roman" w:cs="Times New Roman"/>
        </w:rPr>
      </w:pPr>
      <w:r w:rsidRPr="0053339C">
        <w:rPr>
          <w:rFonts w:ascii="Times New Roman" w:hAnsi="Times New Roman" w:cs="Times New Roman"/>
        </w:rPr>
        <w:t>In Section</w:t>
      </w:r>
      <w:r>
        <w:rPr>
          <w:rFonts w:ascii="Times New Roman" w:hAnsi="Times New Roman" w:cs="Times New Roman"/>
        </w:rPr>
        <w:t xml:space="preserve"> 3.2.2 </w:t>
      </w:r>
      <w:r w:rsidR="00014C46">
        <w:rPr>
          <w:rFonts w:ascii="Times New Roman" w:hAnsi="Times New Roman" w:cs="Times New Roman"/>
        </w:rPr>
        <w:t>of the main text, where we discussed t</w:t>
      </w:r>
      <w:r>
        <w:rPr>
          <w:rFonts w:ascii="Times New Roman" w:hAnsi="Times New Roman" w:cs="Times New Roman"/>
        </w:rPr>
        <w:t xml:space="preserve">he </w:t>
      </w:r>
      <w:proofErr w:type="spellStart"/>
      <w:r w:rsidR="008E2A36">
        <w:rPr>
          <w:rFonts w:ascii="Times New Roman" w:hAnsi="Times New Roman" w:cs="Times New Roman"/>
        </w:rPr>
        <w:t>SS</w:t>
      </w:r>
      <w:r w:rsidR="008E2A36" w:rsidRPr="00147AF9">
        <w:rPr>
          <w:rFonts w:ascii="Times New Roman" w:hAnsi="Times New Roman" w:cs="Times New Roman"/>
          <w:vertAlign w:val="superscript"/>
        </w:rPr>
        <w:t>min</w:t>
      </w:r>
      <w:proofErr w:type="spellEnd"/>
      <w:r>
        <w:rPr>
          <w:rFonts w:ascii="Times New Roman" w:hAnsi="Times New Roman" w:cs="Times New Roman"/>
        </w:rPr>
        <w:t xml:space="preserve"> in C- and H-bearing melts, </w:t>
      </w:r>
      <w:r w:rsidR="00014C46">
        <w:rPr>
          <w:rFonts w:ascii="Times New Roman" w:hAnsi="Times New Roman" w:cs="Times New Roman"/>
        </w:rPr>
        <w:t>we</w:t>
      </w:r>
      <w:r>
        <w:rPr>
          <w:rFonts w:ascii="Times New Roman" w:hAnsi="Times New Roman" w:cs="Times New Roman"/>
        </w:rPr>
        <w:t xml:space="preserve"> state that the magnitude of maximum in </w:t>
      </w:r>
      <w:proofErr w:type="spellStart"/>
      <w:r w:rsidRPr="0053339C">
        <w:rPr>
          <w:rFonts w:ascii="Times New Roman" w:hAnsi="Times New Roman" w:cs="Times New Roman"/>
        </w:rPr>
        <w:t>Δ</w:t>
      </w:r>
      <w:r w:rsidRPr="0053339C">
        <w:rPr>
          <w:rFonts w:ascii="Times New Roman" w:hAnsi="Times New Roman" w:cs="Times New Roman"/>
          <w:i/>
          <w:iCs/>
        </w:rPr>
        <w:t>P</w:t>
      </w:r>
      <w:r w:rsidRPr="0053339C">
        <w:rPr>
          <w:rFonts w:ascii="Times New Roman" w:hAnsi="Times New Roman" w:cs="Times New Roman"/>
          <w:i/>
          <w:iCs/>
          <w:vertAlign w:val="superscript"/>
        </w:rPr>
        <w:t>v</w:t>
      </w:r>
      <w:r w:rsidRPr="0053339C">
        <w:rPr>
          <w:rFonts w:ascii="Times New Roman" w:hAnsi="Times New Roman" w:cs="Times New Roman"/>
          <w:vertAlign w:val="subscript"/>
        </w:rPr>
        <w:t>sat</w:t>
      </w:r>
      <w:proofErr w:type="spellEnd"/>
      <w:r>
        <w:rPr>
          <w:rFonts w:ascii="Times New Roman" w:hAnsi="Times New Roman" w:cs="Times New Roman"/>
        </w:rPr>
        <w:t xml:space="preserve"> is proportional to S-</w:t>
      </w:r>
      <w:proofErr w:type="spellStart"/>
      <w:r>
        <w:rPr>
          <w:rFonts w:ascii="Times New Roman" w:hAnsi="Times New Roman" w:cs="Times New Roman"/>
        </w:rPr>
        <w:t>eq</w:t>
      </w:r>
      <w:proofErr w:type="spellEnd"/>
      <w:r>
        <w:rPr>
          <w:rFonts w:ascii="Times New Roman" w:hAnsi="Times New Roman" w:cs="Times New Roman"/>
        </w:rPr>
        <w:t xml:space="preserve"> because </w:t>
      </w:r>
      <w:r>
        <w:rPr>
          <w:rFonts w:ascii="Times New Roman" w:hAnsi="Times New Roman" w:cs="Times New Roman"/>
          <w:i/>
          <w:iCs/>
        </w:rPr>
        <w:t>p</w:t>
      </w:r>
      <w:r w:rsidRPr="0053339C">
        <w:rPr>
          <w:rFonts w:ascii="Times New Roman" w:hAnsi="Times New Roman" w:cs="Times New Roman"/>
          <w:vertAlign w:val="subscript"/>
        </w:rPr>
        <w:t>SO2</w:t>
      </w:r>
      <w:r>
        <w:rPr>
          <w:rFonts w:ascii="Times New Roman" w:hAnsi="Times New Roman" w:cs="Times New Roman"/>
        </w:rPr>
        <w:t xml:space="preserve"> is proportional to the total </w:t>
      </w:r>
      <w:proofErr w:type="spellStart"/>
      <w:r>
        <w:rPr>
          <w:rFonts w:ascii="Times New Roman" w:hAnsi="Times New Roman" w:cs="Times New Roman"/>
        </w:rPr>
        <w:t>sulfur</w:t>
      </w:r>
      <w:proofErr w:type="spellEnd"/>
      <w:r>
        <w:rPr>
          <w:rFonts w:ascii="Times New Roman" w:hAnsi="Times New Roman" w:cs="Times New Roman"/>
        </w:rPr>
        <w:t xml:space="preserve"> content of the melt.</w:t>
      </w:r>
      <w:r w:rsidR="00E13616">
        <w:rPr>
          <w:rFonts w:ascii="Times New Roman" w:hAnsi="Times New Roman" w:cs="Times New Roman"/>
        </w:rPr>
        <w:t xml:space="preserve"> </w:t>
      </w:r>
      <w:r w:rsidR="004F6A5D">
        <w:rPr>
          <w:rFonts w:ascii="Times New Roman" w:hAnsi="Times New Roman" w:cs="Times New Roman"/>
        </w:rPr>
        <w:t xml:space="preserve">We prove this </w:t>
      </w:r>
      <w:r w:rsidR="00014C46">
        <w:rPr>
          <w:rFonts w:ascii="Times New Roman" w:hAnsi="Times New Roman" w:cs="Times New Roman"/>
        </w:rPr>
        <w:t>statement</w:t>
      </w:r>
      <w:r w:rsidR="004F6A5D">
        <w:rPr>
          <w:rFonts w:ascii="Times New Roman" w:hAnsi="Times New Roman" w:cs="Times New Roman"/>
        </w:rPr>
        <w:t xml:space="preserve"> here.</w:t>
      </w:r>
    </w:p>
    <w:p w14:paraId="5F3C4CED" w14:textId="77777777" w:rsidR="004F6A5D" w:rsidRDefault="004F6A5D" w:rsidP="00E13616">
      <w:pPr>
        <w:jc w:val="both"/>
        <w:rPr>
          <w:rFonts w:ascii="Times New Roman" w:hAnsi="Times New Roman" w:cs="Times New Roman"/>
        </w:rPr>
      </w:pPr>
    </w:p>
    <w:p w14:paraId="32FB34FD" w14:textId="1BC13C8A" w:rsidR="00A8410B" w:rsidRPr="00A8410B" w:rsidRDefault="00B614FF" w:rsidP="00147AF9">
      <w:pPr>
        <w:ind w:firstLine="720"/>
        <w:jc w:val="both"/>
        <w:rPr>
          <w:rFonts w:ascii="Times New Roman" w:hAnsi="Times New Roman" w:cs="Times New Roman"/>
        </w:rPr>
      </w:pPr>
      <w:r w:rsidRPr="0053339C">
        <w:rPr>
          <w:rFonts w:ascii="Times New Roman" w:hAnsi="Times New Roman" w:cs="Times New Roman"/>
        </w:rPr>
        <w:t>The total S in the melt (</w:t>
      </w:r>
      <w:proofErr w:type="spellStart"/>
      <w:r w:rsidRPr="0053339C">
        <w:rPr>
          <w:rFonts w:ascii="Times New Roman" w:hAnsi="Times New Roman" w:cs="Times New Roman"/>
          <w:i/>
          <w:iCs/>
        </w:rPr>
        <w:t>w</w:t>
      </w:r>
      <w:r w:rsidRPr="0053339C">
        <w:rPr>
          <w:rFonts w:ascii="Times New Roman" w:hAnsi="Times New Roman" w:cs="Times New Roman"/>
          <w:i/>
          <w:iCs/>
          <w:vertAlign w:val="superscript"/>
        </w:rPr>
        <w:t>m</w:t>
      </w:r>
      <w:r w:rsidRPr="0053339C">
        <w:rPr>
          <w:rFonts w:ascii="Times New Roman" w:hAnsi="Times New Roman" w:cs="Times New Roman"/>
          <w:vertAlign w:val="subscript"/>
        </w:rPr>
        <w:t>ST</w:t>
      </w:r>
      <w:proofErr w:type="spellEnd"/>
      <w:r w:rsidRPr="0053339C">
        <w:rPr>
          <w:rFonts w:ascii="Times New Roman" w:hAnsi="Times New Roman" w:cs="Times New Roman"/>
        </w:rPr>
        <w:t xml:space="preserve">) is a combination of the </w:t>
      </w:r>
      <w:proofErr w:type="spellStart"/>
      <w:r w:rsidRPr="0053339C">
        <w:rPr>
          <w:rFonts w:ascii="Times New Roman" w:hAnsi="Times New Roman" w:cs="Times New Roman"/>
        </w:rPr>
        <w:t>sulfur</w:t>
      </w:r>
      <w:proofErr w:type="spellEnd"/>
      <w:r w:rsidRPr="0053339C">
        <w:rPr>
          <w:rFonts w:ascii="Times New Roman" w:hAnsi="Times New Roman" w:cs="Times New Roman"/>
        </w:rPr>
        <w:t xml:space="preserve"> dissolved as *S</w:t>
      </w:r>
      <w:r w:rsidRPr="0053339C">
        <w:rPr>
          <w:rFonts w:ascii="Times New Roman" w:hAnsi="Times New Roman" w:cs="Times New Roman"/>
          <w:vertAlign w:val="superscript"/>
        </w:rPr>
        <w:t>2-</w:t>
      </w:r>
      <w:r w:rsidRPr="0053339C">
        <w:rPr>
          <w:rFonts w:ascii="Times New Roman" w:hAnsi="Times New Roman" w:cs="Times New Roman"/>
        </w:rPr>
        <w:t>, SO</w:t>
      </w:r>
      <w:r w:rsidRPr="0053339C">
        <w:rPr>
          <w:rFonts w:ascii="Times New Roman" w:hAnsi="Times New Roman" w:cs="Times New Roman"/>
          <w:vertAlign w:val="subscript"/>
        </w:rPr>
        <w:t>4</w:t>
      </w:r>
      <w:r w:rsidRPr="0053339C">
        <w:rPr>
          <w:rFonts w:ascii="Times New Roman" w:hAnsi="Times New Roman" w:cs="Times New Roman"/>
          <w:vertAlign w:val="superscript"/>
        </w:rPr>
        <w:t>2-</w:t>
      </w:r>
      <w:r w:rsidRPr="0053339C">
        <w:rPr>
          <w:rFonts w:ascii="Times New Roman" w:hAnsi="Times New Roman" w:cs="Times New Roman"/>
        </w:rPr>
        <w:t>, and H</w:t>
      </w:r>
      <w:r w:rsidRPr="0053339C">
        <w:rPr>
          <w:rFonts w:ascii="Times New Roman" w:hAnsi="Times New Roman" w:cs="Times New Roman"/>
          <w:vertAlign w:val="subscript"/>
        </w:rPr>
        <w:t>2</w:t>
      </w:r>
      <w:r w:rsidRPr="0053339C">
        <w:rPr>
          <w:rFonts w:ascii="Times New Roman" w:hAnsi="Times New Roman" w:cs="Times New Roman"/>
        </w:rPr>
        <w:t>S</w:t>
      </w:r>
      <w:r w:rsidRPr="0053339C">
        <w:rPr>
          <w:rFonts w:ascii="Times New Roman" w:hAnsi="Times New Roman" w:cs="Times New Roman"/>
          <w:vertAlign w:val="subscript"/>
        </w:rPr>
        <w:t>mol</w:t>
      </w:r>
      <w:r w:rsidRPr="0053339C">
        <w:rPr>
          <w:rFonts w:ascii="Times New Roman" w:hAnsi="Times New Roman" w:cs="Times New Roma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6"/>
        <w:gridCol w:w="750"/>
      </w:tblGrid>
      <w:tr w:rsidR="00A8410B" w:rsidRPr="00A8410B" w14:paraId="425F0F95" w14:textId="77777777" w:rsidTr="00A8410B">
        <w:tc>
          <w:tcPr>
            <w:tcW w:w="8364" w:type="dxa"/>
            <w:vAlign w:val="center"/>
          </w:tcPr>
          <w:p w14:paraId="30D7A65A" w14:textId="3655DE56" w:rsidR="00A8410B" w:rsidRPr="00A8410B" w:rsidRDefault="00063B50" w:rsidP="00A8410B">
            <w:pPr>
              <w:jc w:val="center"/>
              <w:rPr>
                <w:rFonts w:ascii="Times New Roman" w:hAnsi="Times New Roman" w:cs="Times New Roman"/>
              </w:rPr>
            </w:pPr>
            <m:oMath>
              <m:sSubSup>
                <m:sSubSupPr>
                  <m:ctrlPr>
                    <w:rPr>
                      <w:rFonts w:ascii="Cambria Math" w:hAnsi="Cambria Math" w:cs="Times New Roman"/>
                      <w:i/>
                      <w:iCs/>
                    </w:rPr>
                  </m:ctrlPr>
                </m:sSubSupPr>
                <m:e>
                  <m:r>
                    <w:rPr>
                      <w:rFonts w:ascii="Cambria Math" w:hAnsi="Cambria Math" w:cs="Times New Roman"/>
                    </w:rPr>
                    <m:t>w</m:t>
                  </m:r>
                </m:e>
                <m:sub>
                  <m:sSub>
                    <m:sSubPr>
                      <m:ctrlPr>
                        <w:rPr>
                          <w:rFonts w:ascii="Cambria Math" w:hAnsi="Cambria Math" w:cs="Times New Roman"/>
                        </w:rPr>
                      </m:ctrlPr>
                    </m:sSubPr>
                    <m:e>
                      <m:r>
                        <m:rPr>
                          <m:sty m:val="p"/>
                        </m:rPr>
                        <w:rPr>
                          <w:rFonts w:ascii="Cambria Math" w:hAnsi="Cambria Math" w:cs="Times New Roman"/>
                        </w:rPr>
                        <m:t>S</m:t>
                      </m:r>
                    </m:e>
                    <m:sub>
                      <m:r>
                        <m:rPr>
                          <m:sty m:val="p"/>
                        </m:rPr>
                        <w:rPr>
                          <w:rFonts w:ascii="Cambria Math" w:hAnsi="Cambria Math" w:cs="Times New Roman"/>
                        </w:rPr>
                        <m:t>T</m:t>
                      </m:r>
                    </m:sub>
                  </m:sSub>
                </m:sub>
                <m:sup>
                  <m:r>
                    <w:rPr>
                      <w:rFonts w:ascii="Cambria Math" w:hAnsi="Cambria Math" w:cs="Times New Roman"/>
                    </w:rPr>
                    <m:t>m</m:t>
                  </m:r>
                </m:sup>
              </m:sSubSup>
              <m:r>
                <w:rPr>
                  <w:rFonts w:ascii="Cambria Math" w:hAnsi="Cambria Math" w:cs="Times New Roman"/>
                </w:rPr>
                <m:t>=</m:t>
              </m:r>
              <m:sSubSup>
                <m:sSubSupPr>
                  <m:ctrlPr>
                    <w:rPr>
                      <w:rFonts w:ascii="Cambria Math" w:hAnsi="Cambria Math" w:cs="Times New Roman"/>
                      <w:i/>
                      <w:iCs/>
                    </w:rPr>
                  </m:ctrlPr>
                </m:sSubSupPr>
                <m:e>
                  <m:r>
                    <w:rPr>
                      <w:rFonts w:ascii="Cambria Math" w:hAnsi="Cambria Math" w:cs="Times New Roman"/>
                    </w:rPr>
                    <m:t>w</m:t>
                  </m:r>
                </m:e>
                <m:sub>
                  <m:sPre>
                    <m:sPrePr>
                      <m:ctrlPr>
                        <w:rPr>
                          <w:rFonts w:ascii="Cambria Math" w:hAnsi="Cambria Math" w:cs="Times New Roman"/>
                          <w:iCs/>
                        </w:rPr>
                      </m:ctrlPr>
                    </m:sPrePr>
                    <m:sub>
                      <m:r>
                        <m:rPr>
                          <m:sty m:val="p"/>
                        </m:rPr>
                        <w:rPr>
                          <w:rFonts w:ascii="Cambria Math" w:hAnsi="Cambria Math" w:cs="Times New Roman"/>
                        </w:rPr>
                        <m:t xml:space="preserve"> </m:t>
                      </m:r>
                    </m:sub>
                    <m:sup>
                      <m:r>
                        <m:rPr>
                          <m:sty m:val="p"/>
                        </m:rPr>
                        <w:rPr>
                          <w:rFonts w:ascii="Cambria Math" w:hAnsi="Cambria Math" w:cs="Times New Roman"/>
                        </w:rPr>
                        <m:t>*</m:t>
                      </m:r>
                    </m:sup>
                    <m:e>
                      <m:sSup>
                        <m:sSupPr>
                          <m:ctrlPr>
                            <w:rPr>
                              <w:rFonts w:ascii="Cambria Math" w:hAnsi="Cambria Math" w:cs="Times New Roman"/>
                              <w:iCs/>
                            </w:rPr>
                          </m:ctrlPr>
                        </m:sSupPr>
                        <m:e>
                          <m:r>
                            <m:rPr>
                              <m:sty m:val="p"/>
                            </m:rPr>
                            <w:rPr>
                              <w:rFonts w:ascii="Cambria Math" w:hAnsi="Cambria Math" w:cs="Times New Roman"/>
                            </w:rPr>
                            <m:t>S</m:t>
                          </m:r>
                        </m:e>
                        <m:sup>
                          <m:r>
                            <m:rPr>
                              <m:sty m:val="p"/>
                            </m:rPr>
                            <w:rPr>
                              <w:rFonts w:ascii="Cambria Math" w:hAnsi="Cambria Math" w:cs="Times New Roman"/>
                            </w:rPr>
                            <m:t>2-</m:t>
                          </m:r>
                        </m:sup>
                      </m:sSup>
                    </m:e>
                  </m:sPre>
                </m:sub>
                <m:sup>
                  <m:r>
                    <w:rPr>
                      <w:rFonts w:ascii="Cambria Math" w:hAnsi="Cambria Math" w:cs="Times New Roman"/>
                    </w:rPr>
                    <m:t>m</m:t>
                  </m:r>
                </m:sup>
              </m:sSubSup>
              <m:r>
                <w:rPr>
                  <w:rFonts w:ascii="Cambria Math" w:hAnsi="Cambria Math" w:cs="Times New Roman"/>
                </w:rPr>
                <m:t>+</m:t>
              </m:r>
              <m:sSubSup>
                <m:sSubSupPr>
                  <m:ctrlPr>
                    <w:rPr>
                      <w:rFonts w:ascii="Cambria Math" w:hAnsi="Cambria Math" w:cs="Times New Roman"/>
                      <w:i/>
                      <w:iCs/>
                    </w:rPr>
                  </m:ctrlPr>
                </m:sSubSupPr>
                <m:e>
                  <m:r>
                    <w:rPr>
                      <w:rFonts w:ascii="Cambria Math" w:hAnsi="Cambria Math" w:cs="Times New Roman"/>
                    </w:rPr>
                    <m:t>w</m:t>
                  </m:r>
                </m:e>
                <m:sub>
                  <m:r>
                    <m:rPr>
                      <m:sty m:val="p"/>
                    </m:rPr>
                    <w:rPr>
                      <w:rFonts w:ascii="Cambria Math" w:hAnsi="Cambria Math" w:cs="Times New Roman"/>
                    </w:rPr>
                    <m:t>S|</m:t>
                  </m:r>
                  <m:sSub>
                    <m:sSubPr>
                      <m:ctrlPr>
                        <w:rPr>
                          <w:rFonts w:ascii="Cambria Math" w:hAnsi="Cambria Math" w:cs="Times New Roman"/>
                        </w:rPr>
                      </m:ctrlPr>
                    </m:sSubPr>
                    <m:e>
                      <m:r>
                        <m:rPr>
                          <m:sty m:val="p"/>
                        </m:rPr>
                        <w:rPr>
                          <w:rFonts w:ascii="Cambria Math" w:hAnsi="Cambria Math" w:cs="Times New Roman"/>
                        </w:rPr>
                        <m:t>H</m:t>
                      </m:r>
                    </m:e>
                    <m:sub>
                      <m:r>
                        <m:rPr>
                          <m:sty m:val="p"/>
                        </m:rPr>
                        <w:rPr>
                          <w:rFonts w:ascii="Cambria Math" w:hAnsi="Cambria Math" w:cs="Times New Roman"/>
                        </w:rPr>
                        <m:t>2</m:t>
                      </m:r>
                    </m:sub>
                  </m:sSub>
                  <m:r>
                    <m:rPr>
                      <m:sty m:val="p"/>
                    </m:rPr>
                    <w:rPr>
                      <w:rFonts w:ascii="Cambria Math" w:hAnsi="Cambria Math" w:cs="Times New Roman"/>
                    </w:rPr>
                    <m:t>S</m:t>
                  </m:r>
                </m:sub>
                <m:sup>
                  <m:r>
                    <w:rPr>
                      <w:rFonts w:ascii="Cambria Math" w:hAnsi="Cambria Math" w:cs="Times New Roman"/>
                    </w:rPr>
                    <m:t>m</m:t>
                  </m:r>
                </m:sup>
              </m:sSubSup>
              <m:r>
                <w:rPr>
                  <w:rFonts w:ascii="Cambria Math" w:hAnsi="Cambria Math" w:cs="Times New Roman"/>
                </w:rPr>
                <m:t>+</m:t>
              </m:r>
              <m:sSubSup>
                <m:sSubSupPr>
                  <m:ctrlPr>
                    <w:rPr>
                      <w:rFonts w:ascii="Cambria Math" w:hAnsi="Cambria Math" w:cs="Times New Roman"/>
                      <w:i/>
                      <w:iCs/>
                    </w:rPr>
                  </m:ctrlPr>
                </m:sSubSupPr>
                <m:e>
                  <m:r>
                    <w:rPr>
                      <w:rFonts w:ascii="Cambria Math" w:hAnsi="Cambria Math" w:cs="Times New Roman"/>
                    </w:rPr>
                    <m:t>w</m:t>
                  </m:r>
                </m:e>
                <m:sub>
                  <m:r>
                    <m:rPr>
                      <m:sty m:val="p"/>
                    </m:rPr>
                    <w:rPr>
                      <w:rFonts w:ascii="Cambria Math" w:hAnsi="Cambria Math" w:cs="Times New Roman"/>
                    </w:rPr>
                    <m:t>S|</m:t>
                  </m:r>
                  <m:sSubSup>
                    <m:sSubSupPr>
                      <m:ctrlPr>
                        <w:rPr>
                          <w:rFonts w:ascii="Cambria Math" w:hAnsi="Cambria Math" w:cs="Times New Roman"/>
                        </w:rPr>
                      </m:ctrlPr>
                    </m:sSubSupPr>
                    <m:e>
                      <m:r>
                        <m:rPr>
                          <m:sty m:val="p"/>
                        </m:rPr>
                        <w:rPr>
                          <w:rFonts w:ascii="Cambria Math" w:hAnsi="Cambria Math" w:cs="Times New Roman"/>
                        </w:rPr>
                        <m:t>SO</m:t>
                      </m:r>
                    </m:e>
                    <m:sub>
                      <m:r>
                        <m:rPr>
                          <m:sty m:val="p"/>
                        </m:rPr>
                        <w:rPr>
                          <w:rFonts w:ascii="Cambria Math" w:hAnsi="Cambria Math" w:cs="Times New Roman"/>
                        </w:rPr>
                        <m:t>4</m:t>
                      </m:r>
                    </m:sub>
                    <m:sup>
                      <m:r>
                        <m:rPr>
                          <m:sty m:val="p"/>
                        </m:rPr>
                        <w:rPr>
                          <w:rFonts w:ascii="Cambria Math" w:hAnsi="Cambria Math" w:cs="Times New Roman"/>
                        </w:rPr>
                        <m:t>2-</m:t>
                      </m:r>
                    </m:sup>
                  </m:sSubSup>
                </m:sub>
                <m:sup>
                  <m:r>
                    <w:rPr>
                      <w:rFonts w:ascii="Cambria Math" w:hAnsi="Cambria Math" w:cs="Times New Roman"/>
                    </w:rPr>
                    <m:t>m</m:t>
                  </m:r>
                </m:sup>
              </m:sSubSup>
            </m:oMath>
            <w:r w:rsidR="00A8410B" w:rsidRPr="00A8410B">
              <w:rPr>
                <w:rFonts w:ascii="Times New Roman" w:hAnsi="Times New Roman" w:cs="Times New Roman"/>
              </w:rPr>
              <w:t>.</w:t>
            </w:r>
          </w:p>
        </w:tc>
        <w:tc>
          <w:tcPr>
            <w:tcW w:w="652" w:type="dxa"/>
            <w:vAlign w:val="center"/>
          </w:tcPr>
          <w:p w14:paraId="5C1590C0" w14:textId="13B1E2CE" w:rsidR="00A8410B" w:rsidRPr="00A8410B" w:rsidRDefault="00A8410B" w:rsidP="00A8410B">
            <w:pPr>
              <w:pStyle w:val="equation"/>
              <w:jc w:val="center"/>
              <w:rPr>
                <w:rFonts w:ascii="Times New Roman" w:hAnsi="Times New Roman"/>
                <w:i/>
                <w:iCs/>
              </w:rPr>
            </w:pPr>
            <w:r w:rsidRPr="00A8410B">
              <w:rPr>
                <w:rFonts w:ascii="Times New Roman" w:hAnsi="Times New Roman"/>
              </w:rPr>
              <w:t>(</w:t>
            </w:r>
            <w:r w:rsidR="000D5520">
              <w:rPr>
                <w:rFonts w:ascii="Times New Roman" w:hAnsi="Times New Roman"/>
              </w:rPr>
              <w:t>S50</w:t>
            </w:r>
            <w:r w:rsidRPr="00A8410B">
              <w:rPr>
                <w:rFonts w:ascii="Times New Roman" w:hAnsi="Times New Roman"/>
              </w:rPr>
              <w:t>)</w:t>
            </w:r>
          </w:p>
        </w:tc>
      </w:tr>
    </w:tbl>
    <w:p w14:paraId="642DBADD" w14:textId="2BF52E72" w:rsidR="00B614FF" w:rsidRDefault="00E13616" w:rsidP="00E13616">
      <w:pPr>
        <w:jc w:val="both"/>
        <w:rPr>
          <w:rFonts w:ascii="Times New Roman" w:hAnsi="Times New Roman" w:cs="Times New Roman"/>
        </w:rPr>
      </w:pPr>
      <w:r w:rsidRPr="00E13616">
        <w:rPr>
          <w:rFonts w:ascii="Times New Roman" w:hAnsi="Times New Roman" w:cs="Times New Roman"/>
        </w:rPr>
        <w:t xml:space="preserve">where </w:t>
      </w:r>
      <w:proofErr w:type="spellStart"/>
      <w:r w:rsidRPr="00E13616">
        <w:rPr>
          <w:rFonts w:ascii="Times New Roman" w:hAnsi="Times New Roman" w:cs="Times New Roman"/>
          <w:i/>
          <w:iCs/>
        </w:rPr>
        <w:t>w</w:t>
      </w:r>
      <w:r w:rsidRPr="00E13616">
        <w:rPr>
          <w:rFonts w:ascii="Times New Roman" w:hAnsi="Times New Roman" w:cs="Times New Roman"/>
          <w:i/>
          <w:iCs/>
          <w:vertAlign w:val="superscript"/>
        </w:rPr>
        <w:t>m</w:t>
      </w:r>
      <w:proofErr w:type="spellEnd"/>
      <w:r w:rsidRPr="00E13616">
        <w:rPr>
          <w:rFonts w:ascii="Times New Roman" w:hAnsi="Times New Roman" w:cs="Times New Roman"/>
          <w:vertAlign w:val="subscript"/>
        </w:rPr>
        <w:t>*S2</w:t>
      </w:r>
      <w:r w:rsidRPr="00E13616">
        <w:rPr>
          <w:rFonts w:ascii="Times New Roman" w:hAnsi="Times New Roman" w:cs="Times New Roman"/>
        </w:rPr>
        <w:t xml:space="preserve"> is the </w:t>
      </w:r>
      <w:proofErr w:type="spellStart"/>
      <w:r w:rsidRPr="00E13616">
        <w:rPr>
          <w:rFonts w:ascii="Times New Roman" w:hAnsi="Times New Roman" w:cs="Times New Roman"/>
        </w:rPr>
        <w:t>sulfur</w:t>
      </w:r>
      <w:proofErr w:type="spellEnd"/>
      <w:r w:rsidRPr="00E13616">
        <w:rPr>
          <w:rFonts w:ascii="Times New Roman" w:hAnsi="Times New Roman" w:cs="Times New Roman"/>
        </w:rPr>
        <w:t xml:space="preserve"> dissolved in the melt as *S</w:t>
      </w:r>
      <w:r w:rsidRPr="00E13616">
        <w:rPr>
          <w:rFonts w:ascii="Times New Roman" w:hAnsi="Times New Roman" w:cs="Times New Roman"/>
          <w:vertAlign w:val="superscript"/>
        </w:rPr>
        <w:t>2-</w:t>
      </w:r>
      <w:r w:rsidRPr="00E13616">
        <w:rPr>
          <w:rFonts w:ascii="Times New Roman" w:hAnsi="Times New Roman" w:cs="Times New Roman"/>
        </w:rPr>
        <w:t xml:space="preserve">, </w:t>
      </w:r>
      <w:r w:rsidRPr="00E13616">
        <w:rPr>
          <w:rFonts w:ascii="Times New Roman" w:hAnsi="Times New Roman" w:cs="Times New Roman"/>
          <w:i/>
          <w:iCs/>
        </w:rPr>
        <w:t>w</w:t>
      </w:r>
      <w:r w:rsidRPr="00E13616">
        <w:rPr>
          <w:rFonts w:ascii="Times New Roman" w:hAnsi="Times New Roman" w:cs="Times New Roman"/>
          <w:i/>
          <w:iCs/>
          <w:vertAlign w:val="superscript"/>
        </w:rPr>
        <w:t>m</w:t>
      </w:r>
      <w:r w:rsidRPr="00E13616">
        <w:rPr>
          <w:rFonts w:ascii="Times New Roman" w:hAnsi="Times New Roman" w:cs="Times New Roman"/>
          <w:vertAlign w:val="subscript"/>
        </w:rPr>
        <w:t>S|H2S</w:t>
      </w:r>
      <w:r w:rsidRPr="00E13616">
        <w:rPr>
          <w:rFonts w:ascii="Times New Roman" w:hAnsi="Times New Roman" w:cs="Times New Roman"/>
        </w:rPr>
        <w:t xml:space="preserve"> is the </w:t>
      </w:r>
      <w:proofErr w:type="spellStart"/>
      <w:r w:rsidRPr="00E13616">
        <w:rPr>
          <w:rFonts w:ascii="Times New Roman" w:hAnsi="Times New Roman" w:cs="Times New Roman"/>
        </w:rPr>
        <w:t>sulfur</w:t>
      </w:r>
      <w:proofErr w:type="spellEnd"/>
      <w:r w:rsidRPr="00E13616">
        <w:rPr>
          <w:rFonts w:ascii="Times New Roman" w:hAnsi="Times New Roman" w:cs="Times New Roman"/>
        </w:rPr>
        <w:t xml:space="preserve"> dissolved in the melt as H</w:t>
      </w:r>
      <w:r w:rsidRPr="00E13616">
        <w:rPr>
          <w:rFonts w:ascii="Times New Roman" w:hAnsi="Times New Roman" w:cs="Times New Roman"/>
          <w:vertAlign w:val="subscript"/>
        </w:rPr>
        <w:t>2</w:t>
      </w:r>
      <w:r w:rsidRPr="00E13616">
        <w:rPr>
          <w:rFonts w:ascii="Times New Roman" w:hAnsi="Times New Roman" w:cs="Times New Roman"/>
        </w:rPr>
        <w:t xml:space="preserve">S, and </w:t>
      </w:r>
      <w:r w:rsidRPr="00E13616">
        <w:rPr>
          <w:rFonts w:ascii="Times New Roman" w:hAnsi="Times New Roman" w:cs="Times New Roman"/>
          <w:i/>
          <w:iCs/>
        </w:rPr>
        <w:t>w</w:t>
      </w:r>
      <w:r w:rsidRPr="00E13616">
        <w:rPr>
          <w:rFonts w:ascii="Times New Roman" w:hAnsi="Times New Roman" w:cs="Times New Roman"/>
          <w:i/>
          <w:iCs/>
          <w:vertAlign w:val="superscript"/>
        </w:rPr>
        <w:t>m</w:t>
      </w:r>
      <w:r w:rsidRPr="00E13616">
        <w:rPr>
          <w:rFonts w:ascii="Times New Roman" w:hAnsi="Times New Roman" w:cs="Times New Roman"/>
          <w:vertAlign w:val="subscript"/>
        </w:rPr>
        <w:t>S|SO42-</w:t>
      </w:r>
      <w:r w:rsidRPr="00E13616">
        <w:rPr>
          <w:rFonts w:ascii="Times New Roman" w:hAnsi="Times New Roman" w:cs="Times New Roman"/>
        </w:rPr>
        <w:t xml:space="preserve"> is the </w:t>
      </w:r>
      <w:proofErr w:type="spellStart"/>
      <w:r w:rsidRPr="00E13616">
        <w:rPr>
          <w:rFonts w:ascii="Times New Roman" w:hAnsi="Times New Roman" w:cs="Times New Roman"/>
        </w:rPr>
        <w:t>sulfur</w:t>
      </w:r>
      <w:proofErr w:type="spellEnd"/>
      <w:r w:rsidRPr="00E13616">
        <w:rPr>
          <w:rFonts w:ascii="Times New Roman" w:hAnsi="Times New Roman" w:cs="Times New Roman"/>
        </w:rPr>
        <w:t xml:space="preserve"> dissolved in the melt as SO</w:t>
      </w:r>
      <w:r w:rsidRPr="00E13616">
        <w:rPr>
          <w:rFonts w:ascii="Times New Roman" w:hAnsi="Times New Roman" w:cs="Times New Roman"/>
          <w:vertAlign w:val="subscript"/>
        </w:rPr>
        <w:t>4</w:t>
      </w:r>
      <w:r w:rsidRPr="00E13616">
        <w:rPr>
          <w:rFonts w:ascii="Times New Roman" w:hAnsi="Times New Roman" w:cs="Times New Roman"/>
          <w:vertAlign w:val="superscript"/>
        </w:rPr>
        <w:t>2-</w:t>
      </w:r>
      <w:r w:rsidRPr="00E13616">
        <w:rPr>
          <w:rFonts w:ascii="Times New Roman" w:hAnsi="Times New Roman" w:cs="Times New Roman"/>
        </w:rPr>
        <w:t>.</w:t>
      </w:r>
      <w:r>
        <w:rPr>
          <w:rFonts w:ascii="Times New Roman" w:hAnsi="Times New Roman" w:cs="Times New Roman"/>
        </w:rPr>
        <w:t xml:space="preserve"> </w:t>
      </w:r>
      <w:r w:rsidR="00B614FF" w:rsidRPr="0053339C">
        <w:rPr>
          <w:rFonts w:ascii="Times New Roman" w:hAnsi="Times New Roman" w:cs="Times New Roman"/>
        </w:rPr>
        <w:t>Substituting equations (</w:t>
      </w:r>
      <w:r w:rsidR="00B614FF" w:rsidRPr="007D5AAB">
        <w:rPr>
          <w:rFonts w:ascii="Times New Roman" w:hAnsi="Times New Roman" w:cs="Times New Roman"/>
          <w:color w:val="000000" w:themeColor="text1"/>
        </w:rPr>
        <w:t xml:space="preserve">7, 9, 16–18) </w:t>
      </w:r>
      <w:r>
        <w:rPr>
          <w:rFonts w:ascii="Times New Roman" w:hAnsi="Times New Roman" w:cs="Times New Roman"/>
        </w:rPr>
        <w:t xml:space="preserve">from the main text </w:t>
      </w:r>
      <w:r w:rsidR="00B614FF" w:rsidRPr="0053339C">
        <w:rPr>
          <w:rFonts w:ascii="Times New Roman" w:hAnsi="Times New Roman" w:cs="Times New Roman"/>
        </w:rPr>
        <w:t>into equation (</w:t>
      </w:r>
      <w:r w:rsidR="000D5520">
        <w:rPr>
          <w:rFonts w:ascii="Times New Roman" w:hAnsi="Times New Roman" w:cs="Times New Roman"/>
        </w:rPr>
        <w:t>S</w:t>
      </w:r>
      <w:r w:rsidR="00F4448F">
        <w:rPr>
          <w:rFonts w:ascii="Times New Roman" w:hAnsi="Times New Roman" w:cs="Times New Roman"/>
          <w:color w:val="000000" w:themeColor="text1"/>
        </w:rPr>
        <w:t>50</w:t>
      </w:r>
      <w:r w:rsidR="00B614FF" w:rsidRPr="0053339C">
        <w:rPr>
          <w:rFonts w:ascii="Times New Roman" w:hAnsi="Times New Roman" w:cs="Times New Roman"/>
        </w:rPr>
        <w:t>) gives: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6"/>
        <w:gridCol w:w="750"/>
      </w:tblGrid>
      <w:tr w:rsidR="00E13616" w14:paraId="1E45141F" w14:textId="77777777" w:rsidTr="00E57851">
        <w:tc>
          <w:tcPr>
            <w:tcW w:w="8500" w:type="dxa"/>
            <w:vAlign w:val="center"/>
          </w:tcPr>
          <w:p w14:paraId="018C41F7" w14:textId="75455954" w:rsidR="00E13616" w:rsidRDefault="00063B50" w:rsidP="00E57851">
            <w:pPr>
              <w:pStyle w:val="equation"/>
              <w:jc w:val="center"/>
              <w:rPr>
                <w:rFonts w:ascii="Times New Roman" w:hAnsi="Times New Roman"/>
              </w:rPr>
            </w:pPr>
            <m:oMathPara>
              <m:oMath>
                <m:sSub>
                  <m:sSubPr>
                    <m:ctrlPr>
                      <w:rPr>
                        <w:rFonts w:ascii="Cambria Math" w:eastAsiaTheme="minorHAnsi" w:hAnsi="Cambria Math"/>
                      </w:rPr>
                    </m:ctrlPr>
                  </m:sSubPr>
                  <m:e>
                    <m:r>
                      <w:rPr>
                        <w:rFonts w:ascii="Cambria Math" w:hAnsi="Cambria Math"/>
                      </w:rPr>
                      <m:t>p</m:t>
                    </m:r>
                  </m:e>
                  <m:sub>
                    <m:sSub>
                      <m:sSubPr>
                        <m:ctrlPr>
                          <w:rPr>
                            <w:rFonts w:ascii="Cambria Math" w:eastAsiaTheme="minorHAnsi" w:hAnsi="Cambria Math"/>
                            <w:iCs/>
                          </w:rPr>
                        </m:ctrlPr>
                      </m:sSubPr>
                      <m:e>
                        <m:r>
                          <m:rPr>
                            <m:sty m:val="p"/>
                          </m:rPr>
                          <w:rPr>
                            <w:rFonts w:ascii="Cambria Math" w:hAnsi="Cambria Math"/>
                          </w:rPr>
                          <m:t>SO</m:t>
                        </m:r>
                      </m:e>
                      <m:sub>
                        <m:r>
                          <m:rPr>
                            <m:sty m:val="p"/>
                          </m:rPr>
                          <w:rPr>
                            <w:rFonts w:ascii="Cambria Math" w:hAnsi="Cambria Math"/>
                          </w:rPr>
                          <m:t>2</m:t>
                        </m:r>
                      </m:sub>
                    </m:sSub>
                  </m:sub>
                </m:sSub>
                <m:r>
                  <m:rPr>
                    <m:sty m:val="p"/>
                  </m:rPr>
                  <w:rPr>
                    <w:rFonts w:ascii="Cambria Math" w:hAnsi="Cambria Math"/>
                  </w:rPr>
                  <m:t>=</m:t>
                </m:r>
                <m:d>
                  <m:dPr>
                    <m:begChr m:val="["/>
                    <m:endChr m:val="]"/>
                    <m:ctrlPr>
                      <w:rPr>
                        <w:rFonts w:ascii="Cambria Math" w:eastAsiaTheme="minorHAnsi" w:hAnsi="Cambria Math"/>
                      </w:rPr>
                    </m:ctrlPr>
                  </m:dPr>
                  <m:e>
                    <m:f>
                      <m:fPr>
                        <m:ctrlPr>
                          <w:rPr>
                            <w:rFonts w:ascii="Cambria Math" w:eastAsiaTheme="minorHAnsi" w:hAnsi="Cambria Math"/>
                          </w:rPr>
                        </m:ctrlPr>
                      </m:fPr>
                      <m:num>
                        <m:sSub>
                          <m:sSubPr>
                            <m:ctrlPr>
                              <w:rPr>
                                <w:rFonts w:ascii="Cambria Math" w:eastAsiaTheme="minorHAnsi" w:hAnsi="Cambria Math"/>
                              </w:rPr>
                            </m:ctrlPr>
                          </m:sSubPr>
                          <m:e>
                            <m:r>
                              <w:rPr>
                                <w:rFonts w:ascii="Cambria Math" w:hAnsi="Cambria Math"/>
                              </w:rPr>
                              <m:t>K</m:t>
                            </m:r>
                          </m:e>
                          <m:sub>
                            <m:r>
                              <m:rPr>
                                <m:sty m:val="p"/>
                              </m:rPr>
                              <w:rPr>
                                <w:rFonts w:ascii="Cambria Math" w:hAnsi="Cambria Math"/>
                              </w:rPr>
                              <m:t>S</m:t>
                            </m:r>
                          </m:sub>
                        </m:sSub>
                        <m:sSubSup>
                          <m:sSubSupPr>
                            <m:ctrlPr>
                              <w:rPr>
                                <w:rFonts w:ascii="Cambria Math" w:eastAsiaTheme="minorHAnsi" w:hAnsi="Cambria Math"/>
                              </w:rPr>
                            </m:ctrlPr>
                          </m:sSubSupPr>
                          <m:e>
                            <m:r>
                              <w:rPr>
                                <w:rFonts w:ascii="Cambria Math" w:hAnsi="Cambria Math"/>
                              </w:rPr>
                              <m:t>f</m:t>
                            </m:r>
                          </m:e>
                          <m:sub>
                            <m:sSub>
                              <m:sSubPr>
                                <m:ctrlPr>
                                  <w:rPr>
                                    <w:rFonts w:ascii="Cambria Math" w:eastAsiaTheme="minorHAnsi" w:hAnsi="Cambria Math"/>
                                    <w:iCs/>
                                  </w:rPr>
                                </m:ctrlPr>
                              </m:sSubPr>
                              <m:e>
                                <m:r>
                                  <m:rPr>
                                    <m:sty m:val="p"/>
                                  </m:rPr>
                                  <w:rPr>
                                    <w:rFonts w:ascii="Cambria Math" w:hAnsi="Cambria Math"/>
                                  </w:rPr>
                                  <m:t>O</m:t>
                                </m:r>
                              </m:e>
                              <m:sub>
                                <m:r>
                                  <m:rPr>
                                    <m:sty m:val="p"/>
                                  </m:rPr>
                                  <w:rPr>
                                    <w:rFonts w:ascii="Cambria Math" w:hAnsi="Cambria Math"/>
                                  </w:rPr>
                                  <m:t>2</m:t>
                                </m:r>
                              </m:sub>
                            </m:sSub>
                          </m:sub>
                          <m:sup>
                            <m:r>
                              <m:rPr>
                                <m:sty m:val="p"/>
                              </m:rPr>
                              <w:rPr>
                                <w:rFonts w:ascii="Cambria Math" w:hAnsi="Cambria Math"/>
                              </w:rPr>
                              <m:t>1.5</m:t>
                            </m:r>
                          </m:sup>
                        </m:sSubSup>
                      </m:num>
                      <m:den>
                        <m:sSubSup>
                          <m:sSubSupPr>
                            <m:ctrlPr>
                              <w:rPr>
                                <w:rFonts w:ascii="Cambria Math" w:eastAsiaTheme="minorHAnsi" w:hAnsi="Cambria Math"/>
                              </w:rPr>
                            </m:ctrlPr>
                          </m:sSubSupPr>
                          <m:e>
                            <m:r>
                              <w:rPr>
                                <w:rFonts w:ascii="Cambria Math" w:hAnsi="Cambria Math"/>
                              </w:rPr>
                              <m:t>γ</m:t>
                            </m:r>
                          </m:e>
                          <m:sub>
                            <m:sSub>
                              <m:sSubPr>
                                <m:ctrlPr>
                                  <w:rPr>
                                    <w:rFonts w:ascii="Cambria Math" w:eastAsiaTheme="minorHAnsi" w:hAnsi="Cambria Math"/>
                                    <w:iCs/>
                                  </w:rPr>
                                </m:ctrlPr>
                              </m:sSubPr>
                              <m:e>
                                <m:r>
                                  <m:rPr>
                                    <m:sty m:val="p"/>
                                  </m:rPr>
                                  <w:rPr>
                                    <w:rFonts w:ascii="Cambria Math" w:hAnsi="Cambria Math"/>
                                  </w:rPr>
                                  <m:t>SO</m:t>
                                </m:r>
                              </m:e>
                              <m:sub>
                                <m:r>
                                  <m:rPr>
                                    <m:sty m:val="p"/>
                                  </m:rPr>
                                  <w:rPr>
                                    <w:rFonts w:ascii="Cambria Math" w:hAnsi="Cambria Math"/>
                                  </w:rPr>
                                  <m:t>2</m:t>
                                </m:r>
                              </m:sub>
                            </m:sSub>
                          </m:sub>
                          <m:sup>
                            <m:r>
                              <w:rPr>
                                <w:rFonts w:ascii="Cambria Math" w:hAnsi="Cambria Math"/>
                              </w:rPr>
                              <m:t>v</m:t>
                            </m:r>
                          </m:sup>
                        </m:sSubSup>
                        <m:d>
                          <m:dPr>
                            <m:ctrlPr>
                              <w:rPr>
                                <w:rFonts w:ascii="Cambria Math" w:eastAsiaTheme="minorHAnsi" w:hAnsi="Cambria Math"/>
                              </w:rPr>
                            </m:ctrlPr>
                          </m:dPr>
                          <m:e>
                            <m:sSub>
                              <m:sSubPr>
                                <m:ctrlPr>
                                  <w:rPr>
                                    <w:rFonts w:ascii="Cambria Math" w:eastAsiaTheme="minorHAnsi" w:hAnsi="Cambria Math"/>
                                  </w:rPr>
                                </m:ctrlPr>
                              </m:sSubPr>
                              <m:e>
                                <m:r>
                                  <w:rPr>
                                    <w:rFonts w:ascii="Cambria Math" w:hAnsi="Cambria Math"/>
                                  </w:rPr>
                                  <m:t>C</m:t>
                                </m:r>
                              </m:e>
                              <m:sub>
                                <m:sPre>
                                  <m:sPrePr>
                                    <m:ctrlPr>
                                      <w:rPr>
                                        <w:rFonts w:ascii="Cambria Math" w:eastAsiaTheme="minorHAnsi" w:hAnsi="Cambria Math"/>
                                      </w:rPr>
                                    </m:ctrlPr>
                                  </m:sPrePr>
                                  <m:sub>
                                    <m:r>
                                      <m:rPr>
                                        <m:sty m:val="p"/>
                                      </m:rPr>
                                      <w:rPr>
                                        <w:rFonts w:ascii="Cambria Math" w:hAnsi="Cambria Math"/>
                                      </w:rPr>
                                      <m:t xml:space="preserve"> </m:t>
                                    </m:r>
                                  </m:sub>
                                  <m:sup>
                                    <m:r>
                                      <m:rPr>
                                        <m:sty m:val="p"/>
                                      </m:rPr>
                                      <w:rPr>
                                        <w:rFonts w:ascii="Cambria Math" w:hAnsi="Cambria Math"/>
                                      </w:rPr>
                                      <m:t>*</m:t>
                                    </m:r>
                                  </m:sup>
                                  <m:e>
                                    <m:sSup>
                                      <m:sSupPr>
                                        <m:ctrlPr>
                                          <w:rPr>
                                            <w:rFonts w:ascii="Cambria Math" w:eastAsiaTheme="minorHAnsi" w:hAnsi="Cambria Math"/>
                                            <w:iCs/>
                                          </w:rPr>
                                        </m:ctrlPr>
                                      </m:sSupPr>
                                      <m:e>
                                        <m:r>
                                          <m:rPr>
                                            <m:sty m:val="p"/>
                                          </m:rPr>
                                          <w:rPr>
                                            <w:rFonts w:ascii="Cambria Math" w:hAnsi="Cambria Math"/>
                                          </w:rPr>
                                          <m:t>S</m:t>
                                        </m:r>
                                      </m:e>
                                      <m:sup>
                                        <m:r>
                                          <m:rPr>
                                            <m:sty m:val="p"/>
                                          </m:rPr>
                                          <w:rPr>
                                            <w:rFonts w:ascii="Cambria Math" w:hAnsi="Cambria Math"/>
                                          </w:rPr>
                                          <m:t>2-</m:t>
                                        </m:r>
                                      </m:sup>
                                    </m:sSup>
                                  </m:e>
                                </m:sPre>
                              </m:sub>
                            </m:sSub>
                            <m:r>
                              <m:rPr>
                                <m:sty m:val="p"/>
                              </m:rPr>
                              <w:rPr>
                                <w:rFonts w:ascii="Cambria Math" w:hAnsi="Cambria Math"/>
                              </w:rPr>
                              <m:t>+</m:t>
                            </m:r>
                            <m:sSub>
                              <m:sSubPr>
                                <m:ctrlPr>
                                  <w:rPr>
                                    <w:rFonts w:ascii="Cambria Math" w:eastAsiaTheme="minorHAnsi" w:hAnsi="Cambria Math"/>
                                  </w:rPr>
                                </m:ctrlPr>
                              </m:sSubPr>
                              <m:e>
                                <m:r>
                                  <w:rPr>
                                    <w:rFonts w:ascii="Cambria Math" w:hAnsi="Cambria Math"/>
                                  </w:rPr>
                                  <m:t>C</m:t>
                                </m:r>
                              </m:e>
                              <m:sub>
                                <m:sSub>
                                  <m:sSubPr>
                                    <m:ctrlPr>
                                      <w:rPr>
                                        <w:rFonts w:ascii="Cambria Math" w:eastAsiaTheme="minorHAnsi" w:hAnsi="Cambria Math"/>
                                        <w:iCs/>
                                      </w:rPr>
                                    </m:ctrlPr>
                                  </m:sSubPr>
                                  <m:e>
                                    <m:r>
                                      <m:rPr>
                                        <m:sty m:val="p"/>
                                      </m:rPr>
                                      <w:rPr>
                                        <w:rFonts w:ascii="Cambria Math" w:hAnsi="Cambria Math"/>
                                      </w:rPr>
                                      <m:t>H</m:t>
                                    </m:r>
                                  </m:e>
                                  <m:sub>
                                    <m:r>
                                      <m:rPr>
                                        <m:sty m:val="p"/>
                                      </m:rPr>
                                      <w:rPr>
                                        <w:rFonts w:ascii="Cambria Math" w:hAnsi="Cambria Math"/>
                                      </w:rPr>
                                      <m:t>2</m:t>
                                    </m:r>
                                  </m:sub>
                                </m:sSub>
                                <m:sSub>
                                  <m:sSubPr>
                                    <m:ctrlPr>
                                      <w:rPr>
                                        <w:rFonts w:ascii="Cambria Math" w:eastAsiaTheme="minorHAnsi" w:hAnsi="Cambria Math"/>
                                        <w:iCs/>
                                      </w:rPr>
                                    </m:ctrlPr>
                                  </m:sSubPr>
                                  <m:e>
                                    <m:r>
                                      <m:rPr>
                                        <m:sty m:val="p"/>
                                      </m:rPr>
                                      <w:rPr>
                                        <w:rFonts w:ascii="Cambria Math" w:hAnsi="Cambria Math"/>
                                      </w:rPr>
                                      <m:t>S</m:t>
                                    </m:r>
                                  </m:e>
                                  <m:sub>
                                    <m:r>
                                      <m:rPr>
                                        <m:sty m:val="p"/>
                                      </m:rPr>
                                      <w:rPr>
                                        <w:rFonts w:ascii="Cambria Math" w:hAnsi="Cambria Math"/>
                                      </w:rPr>
                                      <m:t>mol</m:t>
                                    </m:r>
                                  </m:sub>
                                </m:sSub>
                              </m:sub>
                            </m:sSub>
                            <m:sSub>
                              <m:sSubPr>
                                <m:ctrlPr>
                                  <w:rPr>
                                    <w:rFonts w:ascii="Cambria Math" w:eastAsiaTheme="minorHAnsi" w:hAnsi="Cambria Math"/>
                                  </w:rPr>
                                </m:ctrlPr>
                              </m:sSubPr>
                              <m:e>
                                <m:r>
                                  <w:rPr>
                                    <w:rFonts w:ascii="Cambria Math" w:hAnsi="Cambria Math"/>
                                  </w:rPr>
                                  <m:t>K</m:t>
                                </m:r>
                              </m:e>
                              <m:sub>
                                <m:r>
                                  <m:rPr>
                                    <m:sty m:val="p"/>
                                  </m:rPr>
                                  <w:rPr>
                                    <w:rFonts w:ascii="Cambria Math" w:hAnsi="Cambria Math"/>
                                  </w:rPr>
                                  <m:t>HS</m:t>
                                </m:r>
                              </m:sub>
                            </m:sSub>
                            <m:sSub>
                              <m:sSubPr>
                                <m:ctrlPr>
                                  <w:rPr>
                                    <w:rFonts w:ascii="Cambria Math" w:eastAsiaTheme="minorHAnsi" w:hAnsi="Cambria Math"/>
                                  </w:rPr>
                                </m:ctrlPr>
                              </m:sSubPr>
                              <m:e>
                                <m:r>
                                  <w:rPr>
                                    <w:rFonts w:ascii="Cambria Math" w:hAnsi="Cambria Math"/>
                                  </w:rPr>
                                  <m:t>f</m:t>
                                </m:r>
                              </m:e>
                              <m:sub>
                                <m:sSub>
                                  <m:sSubPr>
                                    <m:ctrlPr>
                                      <w:rPr>
                                        <w:rFonts w:ascii="Cambria Math" w:eastAsiaTheme="minorHAnsi"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rPr>
                                </m:ctrlPr>
                              </m:sSubPr>
                              <m:e>
                                <m:r>
                                  <w:rPr>
                                    <w:rFonts w:ascii="Cambria Math" w:hAnsi="Cambria Math"/>
                                  </w:rPr>
                                  <m:t>C</m:t>
                                </m:r>
                              </m:e>
                              <m:sub>
                                <m:sSubSup>
                                  <m:sSubSupPr>
                                    <m:ctrlPr>
                                      <w:rPr>
                                        <w:rFonts w:ascii="Cambria Math" w:eastAsiaTheme="minorHAnsi" w:hAnsi="Cambria Math"/>
                                        <w:iCs/>
                                      </w:rPr>
                                    </m:ctrlPr>
                                  </m:sSubSupPr>
                                  <m:e>
                                    <m:r>
                                      <m:rPr>
                                        <m:sty m:val="p"/>
                                      </m:rPr>
                                      <w:rPr>
                                        <w:rFonts w:ascii="Cambria Math" w:hAnsi="Cambria Math"/>
                                      </w:rPr>
                                      <m:t>SO</m:t>
                                    </m:r>
                                  </m:e>
                                  <m:sub>
                                    <m:r>
                                      <m:rPr>
                                        <m:sty m:val="p"/>
                                      </m:rPr>
                                      <w:rPr>
                                        <w:rFonts w:ascii="Cambria Math" w:hAnsi="Cambria Math"/>
                                      </w:rPr>
                                      <m:t>4</m:t>
                                    </m:r>
                                  </m:sub>
                                  <m:sup>
                                    <m:r>
                                      <m:rPr>
                                        <m:sty m:val="p"/>
                                      </m:rPr>
                                      <w:rPr>
                                        <w:rFonts w:ascii="Cambria Math" w:hAnsi="Cambria Math"/>
                                      </w:rPr>
                                      <m:t>2-</m:t>
                                    </m:r>
                                  </m:sup>
                                </m:sSubSup>
                              </m:sub>
                            </m:sSub>
                            <m:sSubSup>
                              <m:sSubSupPr>
                                <m:ctrlPr>
                                  <w:rPr>
                                    <w:rFonts w:ascii="Cambria Math" w:eastAsiaTheme="minorHAnsi" w:hAnsi="Cambria Math"/>
                                  </w:rPr>
                                </m:ctrlPr>
                              </m:sSubSupPr>
                              <m:e>
                                <m:r>
                                  <w:rPr>
                                    <w:rFonts w:ascii="Cambria Math" w:hAnsi="Cambria Math"/>
                                  </w:rPr>
                                  <m:t>f</m:t>
                                </m:r>
                              </m:e>
                              <m:sub>
                                <m:sSub>
                                  <m:sSubPr>
                                    <m:ctrlPr>
                                      <w:rPr>
                                        <w:rFonts w:ascii="Cambria Math" w:eastAsiaTheme="minorHAnsi" w:hAnsi="Cambria Math"/>
                                      </w:rPr>
                                    </m:ctrlPr>
                                  </m:sSubPr>
                                  <m:e>
                                    <m:r>
                                      <m:rPr>
                                        <m:sty m:val="p"/>
                                      </m:rPr>
                                      <w:rPr>
                                        <w:rFonts w:ascii="Cambria Math" w:hAnsi="Cambria Math"/>
                                      </w:rPr>
                                      <m:t>O</m:t>
                                    </m:r>
                                  </m:e>
                                  <m:sub>
                                    <m:r>
                                      <m:rPr>
                                        <m:sty m:val="p"/>
                                      </m:rPr>
                                      <w:rPr>
                                        <w:rFonts w:ascii="Cambria Math" w:hAnsi="Cambria Math"/>
                                      </w:rPr>
                                      <m:t>2</m:t>
                                    </m:r>
                                  </m:sub>
                                </m:sSub>
                              </m:sub>
                              <m:sup>
                                <m:r>
                                  <m:rPr>
                                    <m:sty m:val="p"/>
                                  </m:rPr>
                                  <w:rPr>
                                    <w:rFonts w:ascii="Cambria Math" w:hAnsi="Cambria Math"/>
                                  </w:rPr>
                                  <m:t>2</m:t>
                                </m:r>
                              </m:sup>
                            </m:sSubSup>
                          </m:e>
                        </m:d>
                      </m:den>
                    </m:f>
                  </m:e>
                </m:d>
                <m:sSubSup>
                  <m:sSubSupPr>
                    <m:ctrlPr>
                      <w:rPr>
                        <w:rFonts w:ascii="Cambria Math" w:eastAsiaTheme="minorHAnsi" w:hAnsi="Cambria Math"/>
                      </w:rPr>
                    </m:ctrlPr>
                  </m:sSubSupPr>
                  <m:e>
                    <m:r>
                      <w:rPr>
                        <w:rFonts w:ascii="Cambria Math" w:hAnsi="Cambria Math"/>
                      </w:rPr>
                      <m:t>w</m:t>
                    </m:r>
                  </m:e>
                  <m:sub>
                    <m:sSub>
                      <m:sSubPr>
                        <m:ctrlPr>
                          <w:rPr>
                            <w:rFonts w:ascii="Cambria Math" w:eastAsiaTheme="minorHAnsi" w:hAnsi="Cambria Math"/>
                            <w:iCs/>
                          </w:rPr>
                        </m:ctrlPr>
                      </m:sSubPr>
                      <m:e>
                        <m:r>
                          <m:rPr>
                            <m:sty m:val="p"/>
                          </m:rPr>
                          <w:rPr>
                            <w:rFonts w:ascii="Cambria Math" w:hAnsi="Cambria Math"/>
                          </w:rPr>
                          <m:t>S</m:t>
                        </m:r>
                      </m:e>
                      <m:sub>
                        <m:r>
                          <m:rPr>
                            <m:sty m:val="p"/>
                          </m:rPr>
                          <w:rPr>
                            <w:rFonts w:ascii="Cambria Math" w:hAnsi="Cambria Math"/>
                          </w:rPr>
                          <m:t>T</m:t>
                        </m:r>
                      </m:sub>
                    </m:sSub>
                  </m:sub>
                  <m:sup>
                    <m:r>
                      <w:rPr>
                        <w:rFonts w:ascii="Cambria Math" w:hAnsi="Cambria Math"/>
                      </w:rPr>
                      <m:t>m</m:t>
                    </m:r>
                  </m:sup>
                </m:sSubSup>
              </m:oMath>
            </m:oMathPara>
          </w:p>
        </w:tc>
        <w:tc>
          <w:tcPr>
            <w:tcW w:w="516" w:type="dxa"/>
            <w:vAlign w:val="center"/>
          </w:tcPr>
          <w:p w14:paraId="7CCB4C8F" w14:textId="2A56A51F" w:rsidR="00E13616" w:rsidRDefault="00E57851" w:rsidP="00E57851">
            <w:pPr>
              <w:pStyle w:val="equation"/>
              <w:jc w:val="center"/>
              <w:rPr>
                <w:rFonts w:ascii="Times New Roman" w:hAnsi="Times New Roman"/>
              </w:rPr>
            </w:pPr>
            <w:r>
              <w:rPr>
                <w:rFonts w:ascii="Times New Roman" w:hAnsi="Times New Roman"/>
              </w:rPr>
              <w:t>(</w:t>
            </w:r>
            <w:r w:rsidR="000D5520">
              <w:rPr>
                <w:rFonts w:ascii="Times New Roman" w:hAnsi="Times New Roman"/>
              </w:rPr>
              <w:t>S51</w:t>
            </w:r>
            <w:r>
              <w:rPr>
                <w:rFonts w:ascii="Times New Roman" w:hAnsi="Times New Roman"/>
              </w:rPr>
              <w:t>)</w:t>
            </w:r>
          </w:p>
        </w:tc>
      </w:tr>
    </w:tbl>
    <w:p w14:paraId="5C5CF975" w14:textId="57C74C0E" w:rsidR="00372AD9" w:rsidRDefault="00E57851">
      <w:pPr>
        <w:rPr>
          <w:rFonts w:ascii="Times New Roman" w:hAnsi="Times New Roman" w:cs="Times New Roman"/>
        </w:rPr>
      </w:pPr>
      <w:r>
        <w:rPr>
          <w:rFonts w:ascii="Times New Roman" w:hAnsi="Times New Roman" w:cs="Times New Roman"/>
        </w:rPr>
        <w:t xml:space="preserve">Hence, </w:t>
      </w:r>
      <w:r>
        <w:rPr>
          <w:rFonts w:ascii="Times New Roman" w:hAnsi="Times New Roman" w:cs="Times New Roman"/>
          <w:i/>
          <w:iCs/>
        </w:rPr>
        <w:t>p</w:t>
      </w:r>
      <w:r w:rsidRPr="00E57851">
        <w:rPr>
          <w:rFonts w:ascii="Times New Roman" w:hAnsi="Times New Roman" w:cs="Times New Roman"/>
          <w:vertAlign w:val="subscript"/>
        </w:rPr>
        <w:t>SO2</w:t>
      </w:r>
      <w:r>
        <w:rPr>
          <w:rFonts w:ascii="Times New Roman" w:hAnsi="Times New Roman" w:cs="Times New Roman"/>
        </w:rPr>
        <w:t xml:space="preserve"> is proportional to </w:t>
      </w:r>
      <w:proofErr w:type="spellStart"/>
      <w:r w:rsidRPr="00E57851">
        <w:rPr>
          <w:rFonts w:ascii="Times New Roman" w:hAnsi="Times New Roman" w:cs="Times New Roman"/>
          <w:i/>
          <w:iCs/>
        </w:rPr>
        <w:t>w</w:t>
      </w:r>
      <w:r w:rsidRPr="00E57851">
        <w:rPr>
          <w:rFonts w:ascii="Times New Roman" w:hAnsi="Times New Roman" w:cs="Times New Roman"/>
          <w:i/>
          <w:iCs/>
          <w:vertAlign w:val="superscript"/>
        </w:rPr>
        <w:t>m</w:t>
      </w:r>
      <w:r w:rsidRPr="00E57851">
        <w:rPr>
          <w:rFonts w:ascii="Times New Roman" w:hAnsi="Times New Roman" w:cs="Times New Roman"/>
          <w:vertAlign w:val="subscript"/>
        </w:rPr>
        <w:t>ST</w:t>
      </w:r>
      <w:proofErr w:type="spellEnd"/>
      <w:r>
        <w:rPr>
          <w:rFonts w:ascii="Times New Roman" w:hAnsi="Times New Roman" w:cs="Times New Roman"/>
        </w:rPr>
        <w:t>.</w:t>
      </w:r>
    </w:p>
    <w:p w14:paraId="13BDA3E8" w14:textId="52A1C1FF" w:rsidR="009C141B" w:rsidRDefault="009C141B">
      <w:pPr>
        <w:rPr>
          <w:rFonts w:ascii="Times New Roman" w:hAnsi="Times New Roman" w:cs="Times New Roman"/>
        </w:rPr>
      </w:pPr>
    </w:p>
    <w:p w14:paraId="0C501A9E" w14:textId="7819D27F" w:rsidR="00115BE3" w:rsidRDefault="00115BE3">
      <w:pPr>
        <w:rPr>
          <w:rFonts w:asciiTheme="majorBidi" w:eastAsiaTheme="majorEastAsia" w:hAnsiTheme="majorBidi" w:cs="Times New Roman"/>
          <w:b/>
          <w:color w:val="000000" w:themeColor="text1"/>
          <w:szCs w:val="32"/>
        </w:rPr>
      </w:pPr>
    </w:p>
    <w:p w14:paraId="11AD4DB2" w14:textId="5E9A3199" w:rsidR="00115BE3" w:rsidRDefault="00CD3D14" w:rsidP="0022237F">
      <w:pPr>
        <w:pStyle w:val="Heading2"/>
        <w:spacing w:after="200"/>
      </w:pPr>
      <w:r>
        <w:t xml:space="preserve">Comparison between case 3 and 4 for position and magnitude of </w:t>
      </w:r>
      <w:proofErr w:type="spellStart"/>
      <w:r w:rsidRPr="003C231C">
        <w:rPr>
          <w:iCs/>
        </w:rPr>
        <w:t>P</w:t>
      </w:r>
      <w:r>
        <w:rPr>
          <w:iCs/>
          <w:vertAlign w:val="superscript"/>
        </w:rPr>
        <w:t>v</w:t>
      </w:r>
      <w:r w:rsidRPr="003C231C">
        <w:rPr>
          <w:vertAlign w:val="subscript"/>
        </w:rPr>
        <w:t>sat</w:t>
      </w:r>
      <w:proofErr w:type="spellEnd"/>
    </w:p>
    <w:p w14:paraId="04B97338" w14:textId="4D7C3FFC" w:rsidR="00CD3D14" w:rsidRDefault="00CD3D14" w:rsidP="00147AF9">
      <w:pPr>
        <w:ind w:firstLine="720"/>
        <w:jc w:val="both"/>
        <w:rPr>
          <w:rFonts w:ascii="Times New Roman" w:hAnsi="Times New Roman"/>
        </w:rPr>
      </w:pPr>
      <w:r w:rsidRPr="00670349">
        <w:rPr>
          <w:rFonts w:ascii="Times New Roman" w:hAnsi="Times New Roman"/>
        </w:rPr>
        <w:t xml:space="preserve">The overall behaviour of case 3 </w:t>
      </w:r>
      <w:r>
        <w:rPr>
          <w:rFonts w:ascii="Times New Roman" w:hAnsi="Times New Roman"/>
        </w:rPr>
        <w:t xml:space="preserve">shown </w:t>
      </w:r>
      <w:r w:rsidRPr="00670349">
        <w:rPr>
          <w:rFonts w:ascii="Times New Roman" w:hAnsi="Times New Roman"/>
        </w:rPr>
        <w:t xml:space="preserve">in </w:t>
      </w:r>
      <w:r w:rsidR="00014C46">
        <w:rPr>
          <w:rFonts w:ascii="Times New Roman" w:hAnsi="Times New Roman"/>
          <w:color w:val="000000" w:themeColor="text1"/>
        </w:rPr>
        <w:t>Figure 3</w:t>
      </w:r>
      <w:r>
        <w:rPr>
          <w:rFonts w:ascii="Times New Roman" w:hAnsi="Times New Roman"/>
          <w:color w:val="000000" w:themeColor="text1"/>
        </w:rPr>
        <w:t xml:space="preserve"> </w:t>
      </w:r>
      <w:r w:rsidR="008E2A36">
        <w:rPr>
          <w:rFonts w:ascii="Times New Roman" w:hAnsi="Times New Roman"/>
          <w:color w:val="000000" w:themeColor="text1"/>
        </w:rPr>
        <w:t>of</w:t>
      </w:r>
      <w:r w:rsidR="00014C46">
        <w:rPr>
          <w:rFonts w:ascii="Times New Roman" w:hAnsi="Times New Roman"/>
          <w:color w:val="000000" w:themeColor="text1"/>
        </w:rPr>
        <w:t xml:space="preserve"> the main text </w:t>
      </w:r>
      <w:r w:rsidRPr="00670349">
        <w:rPr>
          <w:rFonts w:ascii="Times New Roman" w:hAnsi="Times New Roman"/>
        </w:rPr>
        <w:t>is similar to that calculated for the S-O (i.e., H- and C-absent</w:t>
      </w:r>
      <w:r>
        <w:rPr>
          <w:rFonts w:ascii="Times New Roman" w:hAnsi="Times New Roman"/>
        </w:rPr>
        <w:t>, referred to as</w:t>
      </w:r>
      <w:r w:rsidRPr="00670349">
        <w:rPr>
          <w:rFonts w:ascii="Times New Roman" w:hAnsi="Times New Roman"/>
        </w:rPr>
        <w:t xml:space="preserve"> case 4) system presented in </w:t>
      </w:r>
      <w:r w:rsidRPr="00CE5898">
        <w:rPr>
          <w:rFonts w:ascii="Times New Roman" w:hAnsi="Times New Roman"/>
        </w:rPr>
        <w:fldChar w:fldCharType="begin" w:fldLock="1"/>
      </w:r>
      <w:r w:rsidR="00E0491E">
        <w:rPr>
          <w:rFonts w:ascii="Times New Roman" w:hAnsi="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sidRPr="00CE5898">
        <w:rPr>
          <w:rFonts w:ascii="Times New Roman" w:hAnsi="Times New Roman"/>
        </w:rPr>
        <w:fldChar w:fldCharType="separate"/>
      </w:r>
      <w:r w:rsidRPr="007D2695">
        <w:rPr>
          <w:rFonts w:ascii="Times New Roman" w:hAnsi="Times New Roman"/>
          <w:noProof/>
        </w:rPr>
        <w:t xml:space="preserve">Hughes </w:t>
      </w:r>
      <w:r w:rsidRPr="007D2695">
        <w:rPr>
          <w:rFonts w:ascii="Times New Roman" w:hAnsi="Times New Roman"/>
          <w:i/>
          <w:noProof/>
        </w:rPr>
        <w:t>et al.</w:t>
      </w:r>
      <w:r w:rsidRPr="007D2695">
        <w:rPr>
          <w:rFonts w:ascii="Times New Roman" w:hAnsi="Times New Roman"/>
          <w:noProof/>
        </w:rPr>
        <w:t xml:space="preserve"> </w:t>
      </w:r>
      <w:r>
        <w:rPr>
          <w:rFonts w:ascii="Times New Roman" w:hAnsi="Times New Roman"/>
          <w:noProof/>
        </w:rPr>
        <w:t>(</w:t>
      </w:r>
      <w:r w:rsidRPr="007D2695">
        <w:rPr>
          <w:rFonts w:ascii="Times New Roman" w:hAnsi="Times New Roman"/>
          <w:noProof/>
        </w:rPr>
        <w:t>2023)</w:t>
      </w:r>
      <w:r w:rsidRPr="00CE5898">
        <w:rPr>
          <w:rFonts w:ascii="Times New Roman" w:hAnsi="Times New Roman"/>
        </w:rPr>
        <w:fldChar w:fldCharType="end"/>
      </w:r>
      <w:r w:rsidRPr="00670349">
        <w:rPr>
          <w:rFonts w:ascii="Times New Roman" w:hAnsi="Times New Roman"/>
          <w:color w:val="000000" w:themeColor="text1"/>
        </w:rPr>
        <w:t>,</w:t>
      </w:r>
      <w:r w:rsidRPr="00670349">
        <w:rPr>
          <w:rFonts w:ascii="Times New Roman" w:hAnsi="Times New Roman"/>
          <w:color w:val="0070C0"/>
        </w:rPr>
        <w:t xml:space="preserve"> </w:t>
      </w:r>
      <w:r w:rsidRPr="00670349">
        <w:rPr>
          <w:rFonts w:ascii="Times New Roman" w:hAnsi="Times New Roman"/>
          <w:color w:val="000000" w:themeColor="text1"/>
        </w:rPr>
        <w:t xml:space="preserve">where there is also a maximum in </w:t>
      </w:r>
      <w:proofErr w:type="spellStart"/>
      <w:r w:rsidRPr="00670349">
        <w:rPr>
          <w:rFonts w:ascii="Times New Roman" w:hAnsi="Times New Roman"/>
          <w:i/>
          <w:iCs/>
        </w:rPr>
        <w:t>P</w:t>
      </w:r>
      <w:r w:rsidRPr="00670349">
        <w:rPr>
          <w:rFonts w:ascii="Times New Roman" w:hAnsi="Times New Roman"/>
          <w:i/>
          <w:iCs/>
          <w:vertAlign w:val="superscript"/>
        </w:rPr>
        <w:t>v</w:t>
      </w:r>
      <w:r w:rsidRPr="00670349">
        <w:rPr>
          <w:rFonts w:ascii="Times New Roman" w:hAnsi="Times New Roman"/>
          <w:vertAlign w:val="subscript"/>
        </w:rPr>
        <w:t>sat</w:t>
      </w:r>
      <w:proofErr w:type="spellEnd"/>
      <w:r w:rsidRPr="00670349">
        <w:rPr>
          <w:rFonts w:ascii="Times New Roman" w:hAnsi="Times New Roman"/>
        </w:rPr>
        <w:t xml:space="preserve"> in the </w:t>
      </w:r>
      <w:r w:rsidRPr="00670349">
        <w:rPr>
          <w:rFonts w:ascii="Times New Roman" w:hAnsi="Times New Roman"/>
          <w:i/>
          <w:iCs/>
        </w:rPr>
        <w:t>f</w:t>
      </w:r>
      <w:r w:rsidRPr="00670349">
        <w:rPr>
          <w:rFonts w:ascii="Times New Roman" w:hAnsi="Times New Roman"/>
          <w:vertAlign w:val="subscript"/>
        </w:rPr>
        <w:t>O2</w:t>
      </w:r>
      <w:r w:rsidRPr="00670349">
        <w:rPr>
          <w:rFonts w:ascii="Times New Roman" w:hAnsi="Times New Roman"/>
        </w:rPr>
        <w:t xml:space="preserve"> range in which both *S</w:t>
      </w:r>
      <w:r w:rsidRPr="00670349">
        <w:rPr>
          <w:rFonts w:ascii="Times New Roman" w:hAnsi="Times New Roman"/>
          <w:vertAlign w:val="superscript"/>
        </w:rPr>
        <w:t>2-</w:t>
      </w:r>
      <w:r w:rsidRPr="00670349">
        <w:rPr>
          <w:rFonts w:ascii="Times New Roman" w:hAnsi="Times New Roman"/>
        </w:rPr>
        <w:t xml:space="preserve"> and SO</w:t>
      </w:r>
      <w:r w:rsidRPr="00670349">
        <w:rPr>
          <w:rFonts w:ascii="Times New Roman" w:hAnsi="Times New Roman"/>
          <w:vertAlign w:val="subscript"/>
        </w:rPr>
        <w:t>4</w:t>
      </w:r>
      <w:r w:rsidRPr="00670349">
        <w:rPr>
          <w:rFonts w:ascii="Times New Roman" w:hAnsi="Times New Roman"/>
          <w:vertAlign w:val="superscript"/>
        </w:rPr>
        <w:t>2-</w:t>
      </w:r>
      <w:r w:rsidRPr="00670349">
        <w:rPr>
          <w:rFonts w:ascii="Times New Roman" w:hAnsi="Times New Roman"/>
        </w:rPr>
        <w:t xml:space="preserve"> are present in the melt in similar quantities. In the S-O system, the maximum reflects entirely a maximum in </w:t>
      </w:r>
      <w:r w:rsidRPr="00670349">
        <w:rPr>
          <w:rFonts w:ascii="Times New Roman" w:hAnsi="Times New Roman"/>
          <w:i/>
          <w:iCs/>
        </w:rPr>
        <w:t>p</w:t>
      </w:r>
      <w:r w:rsidRPr="00670349">
        <w:rPr>
          <w:rFonts w:ascii="Times New Roman" w:hAnsi="Times New Roman"/>
          <w:vertAlign w:val="subscript"/>
        </w:rPr>
        <w:t>SO2</w:t>
      </w:r>
      <w:r w:rsidRPr="00670349">
        <w:rPr>
          <w:rFonts w:ascii="Times New Roman" w:hAnsi="Times New Roman"/>
        </w:rPr>
        <w:t xml:space="preserve"> (the positions of the maxima in </w:t>
      </w:r>
      <w:proofErr w:type="spellStart"/>
      <w:r w:rsidRPr="00670349">
        <w:rPr>
          <w:rFonts w:ascii="Times New Roman" w:hAnsi="Times New Roman"/>
          <w:i/>
          <w:iCs/>
        </w:rPr>
        <w:t>P</w:t>
      </w:r>
      <w:r w:rsidRPr="00670349">
        <w:rPr>
          <w:rFonts w:ascii="Times New Roman" w:hAnsi="Times New Roman"/>
          <w:i/>
          <w:iCs/>
          <w:vertAlign w:val="superscript"/>
        </w:rPr>
        <w:t>v</w:t>
      </w:r>
      <w:r w:rsidRPr="00670349">
        <w:rPr>
          <w:rFonts w:ascii="Times New Roman" w:hAnsi="Times New Roman"/>
          <w:vertAlign w:val="subscript"/>
        </w:rPr>
        <w:t>sat</w:t>
      </w:r>
      <w:proofErr w:type="spellEnd"/>
      <w:r w:rsidRPr="00670349">
        <w:rPr>
          <w:rFonts w:ascii="Times New Roman" w:hAnsi="Times New Roman"/>
        </w:rPr>
        <w:t xml:space="preserve"> and </w:t>
      </w:r>
      <w:r w:rsidRPr="00670349">
        <w:rPr>
          <w:rFonts w:ascii="Times New Roman" w:hAnsi="Times New Roman"/>
          <w:i/>
          <w:iCs/>
        </w:rPr>
        <w:t>p</w:t>
      </w:r>
      <w:r w:rsidRPr="00670349">
        <w:rPr>
          <w:rFonts w:ascii="Times New Roman" w:hAnsi="Times New Roman"/>
          <w:vertAlign w:val="subscript"/>
        </w:rPr>
        <w:t>SO2</w:t>
      </w:r>
      <w:r w:rsidRPr="00670349">
        <w:rPr>
          <w:rFonts w:ascii="Times New Roman" w:hAnsi="Times New Roman"/>
        </w:rPr>
        <w:t xml:space="preserve"> are at the same </w:t>
      </w:r>
      <w:r w:rsidRPr="00670349">
        <w:rPr>
          <w:rFonts w:ascii="Times New Roman" w:hAnsi="Times New Roman"/>
          <w:i/>
          <w:iCs/>
        </w:rPr>
        <w:t>f</w:t>
      </w:r>
      <w:r w:rsidRPr="00670349">
        <w:rPr>
          <w:rFonts w:ascii="Times New Roman" w:hAnsi="Times New Roman"/>
          <w:vertAlign w:val="subscript"/>
        </w:rPr>
        <w:t>O2</w:t>
      </w:r>
      <w:r w:rsidRPr="00670349">
        <w:rPr>
          <w:rFonts w:ascii="Times New Roman" w:hAnsi="Times New Roman"/>
        </w:rPr>
        <w:t xml:space="preserve">). Here, the maximum </w:t>
      </w:r>
      <w:r>
        <w:rPr>
          <w:rFonts w:ascii="Times New Roman" w:hAnsi="Times New Roman"/>
        </w:rPr>
        <w:t>reflects primarily</w:t>
      </w:r>
      <w:r w:rsidRPr="00670349">
        <w:rPr>
          <w:rFonts w:ascii="Times New Roman" w:hAnsi="Times New Roman"/>
        </w:rPr>
        <w:t xml:space="preserve"> the behaviour of SO</w:t>
      </w:r>
      <w:r w:rsidRPr="00670349">
        <w:rPr>
          <w:rFonts w:ascii="Times New Roman" w:hAnsi="Times New Roman"/>
          <w:vertAlign w:val="subscript"/>
        </w:rPr>
        <w:t>2</w:t>
      </w:r>
      <w:r w:rsidRPr="00670349">
        <w:rPr>
          <w:rFonts w:ascii="Times New Roman" w:hAnsi="Times New Roman"/>
        </w:rPr>
        <w:t xml:space="preserve"> in the vapor, but there are small influences from the other S-bearing species (e.g., H</w:t>
      </w:r>
      <w:r w:rsidRPr="00670349">
        <w:rPr>
          <w:rFonts w:ascii="Times New Roman" w:hAnsi="Times New Roman"/>
          <w:vertAlign w:val="subscript"/>
        </w:rPr>
        <w:t>2</w:t>
      </w:r>
      <w:r w:rsidRPr="00670349">
        <w:rPr>
          <w:rFonts w:ascii="Times New Roman" w:hAnsi="Times New Roman"/>
        </w:rPr>
        <w:t>S and OCS) as well. Thus, its position is influenced by the presence of C-O-H species (</w:t>
      </w:r>
      <w:r w:rsidR="00014C46">
        <w:rPr>
          <w:rFonts w:ascii="Times New Roman" w:hAnsi="Times New Roman"/>
          <w:color w:val="000000" w:themeColor="text1"/>
        </w:rPr>
        <w:t>Figure 3 in the main text</w:t>
      </w:r>
      <w:r w:rsidRPr="00670349">
        <w:rPr>
          <w:rFonts w:ascii="Times New Roman" w:hAnsi="Times New Roman"/>
        </w:rPr>
        <w:t>). Additionally, the presence of C-O-H species changes</w:t>
      </w:r>
      <w:r>
        <w:rPr>
          <w:rFonts w:ascii="Times New Roman" w:hAnsi="Times New Roman"/>
        </w:rPr>
        <w:t xml:space="preserve"> both</w:t>
      </w:r>
      <w:r w:rsidRPr="00670349">
        <w:rPr>
          <w:rFonts w:ascii="Times New Roman" w:hAnsi="Times New Roman"/>
        </w:rPr>
        <w:t xml:space="preserve"> the magnitude </w:t>
      </w:r>
      <w:r>
        <w:rPr>
          <w:rFonts w:ascii="Times New Roman" w:hAnsi="Times New Roman"/>
        </w:rPr>
        <w:t xml:space="preserve">and position of </w:t>
      </w:r>
      <w:r w:rsidRPr="00670349">
        <w:rPr>
          <w:rFonts w:ascii="Times New Roman" w:hAnsi="Times New Roman"/>
        </w:rPr>
        <w:t>the maximum</w:t>
      </w:r>
      <w:r>
        <w:rPr>
          <w:rFonts w:ascii="Times New Roman" w:hAnsi="Times New Roman"/>
        </w:rPr>
        <w:t xml:space="preserve"> in </w:t>
      </w:r>
      <w:proofErr w:type="spellStart"/>
      <w:proofErr w:type="gramStart"/>
      <w:r w:rsidRPr="00670349">
        <w:rPr>
          <w:rFonts w:ascii="Times New Roman" w:hAnsi="Times New Roman"/>
          <w:i/>
          <w:iCs/>
        </w:rPr>
        <w:t>P</w:t>
      </w:r>
      <w:r w:rsidRPr="00670349">
        <w:rPr>
          <w:rFonts w:ascii="Times New Roman" w:hAnsi="Times New Roman"/>
          <w:i/>
          <w:iCs/>
          <w:vertAlign w:val="superscript"/>
        </w:rPr>
        <w:t>v</w:t>
      </w:r>
      <w:r w:rsidRPr="00670349">
        <w:rPr>
          <w:rFonts w:ascii="Times New Roman" w:hAnsi="Times New Roman"/>
          <w:vertAlign w:val="subscript"/>
        </w:rPr>
        <w:t>sat</w:t>
      </w:r>
      <w:proofErr w:type="spellEnd"/>
      <w:r>
        <w:rPr>
          <w:rFonts w:ascii="Times New Roman" w:hAnsi="Times New Roman"/>
        </w:rPr>
        <w:t>;</w:t>
      </w:r>
      <w:proofErr w:type="gramEnd"/>
      <w:r>
        <w:rPr>
          <w:rFonts w:ascii="Times New Roman" w:hAnsi="Times New Roman"/>
        </w:rPr>
        <w:t xml:space="preserve"> i.e., for</w:t>
      </w:r>
      <w:r w:rsidRPr="00670349">
        <w:rPr>
          <w:rFonts w:ascii="Times New Roman" w:hAnsi="Times New Roman"/>
        </w:rPr>
        <w:t xml:space="preserve"> the same S-</w:t>
      </w:r>
      <w:proofErr w:type="spellStart"/>
      <w:r w:rsidRPr="00670349">
        <w:rPr>
          <w:rFonts w:ascii="Times New Roman" w:hAnsi="Times New Roman"/>
        </w:rPr>
        <w:t>eq</w:t>
      </w:r>
      <w:proofErr w:type="spellEnd"/>
      <w:r w:rsidRPr="00670349">
        <w:rPr>
          <w:rFonts w:ascii="Times New Roman" w:hAnsi="Times New Roman"/>
        </w:rPr>
        <w:t xml:space="preserve">, the sum of the </w:t>
      </w:r>
      <w:r w:rsidRPr="00670349">
        <w:rPr>
          <w:rFonts w:ascii="Times New Roman" w:hAnsi="Times New Roman"/>
          <w:i/>
          <w:iCs/>
        </w:rPr>
        <w:t>p</w:t>
      </w:r>
      <w:r w:rsidRPr="00670349">
        <w:rPr>
          <w:rFonts w:ascii="Times New Roman" w:hAnsi="Times New Roman"/>
          <w:i/>
          <w:iCs/>
          <w:vertAlign w:val="subscript"/>
        </w:rPr>
        <w:t>i</w:t>
      </w:r>
      <w:r w:rsidRPr="00670349">
        <w:rPr>
          <w:rFonts w:ascii="Times New Roman" w:hAnsi="Times New Roman"/>
        </w:rPr>
        <w:t>’s of the S-bearing species is roughly half when C-O-</w:t>
      </w:r>
      <w:r w:rsidRPr="00670349">
        <w:rPr>
          <w:rFonts w:ascii="Times New Roman" w:hAnsi="Times New Roman"/>
        </w:rPr>
        <w:lastRenderedPageBreak/>
        <w:t>H species are included compared to only S-O species</w:t>
      </w:r>
      <w:r>
        <w:rPr>
          <w:rFonts w:ascii="Times New Roman" w:hAnsi="Times New Roman"/>
        </w:rPr>
        <w:t xml:space="preserve">, and the position of the maximum shifts to lower </w:t>
      </w:r>
      <w:r w:rsidRPr="00892425">
        <w:rPr>
          <w:rFonts w:ascii="Times New Roman" w:hAnsi="Times New Roman"/>
          <w:i/>
          <w:iCs/>
        </w:rPr>
        <w:t>f</w:t>
      </w:r>
      <w:r w:rsidRPr="00892425">
        <w:rPr>
          <w:rFonts w:ascii="Times New Roman" w:hAnsi="Times New Roman"/>
          <w:vertAlign w:val="subscript"/>
        </w:rPr>
        <w:t>O2</w:t>
      </w:r>
      <w:r>
        <w:rPr>
          <w:rFonts w:ascii="Times New Roman" w:hAnsi="Times New Roman"/>
          <w:vertAlign w:val="subscript"/>
        </w:rPr>
        <w:t>s</w:t>
      </w:r>
      <w:r w:rsidRPr="00670349">
        <w:rPr>
          <w:rFonts w:ascii="Times New Roman" w:hAnsi="Times New Roman"/>
        </w:rPr>
        <w:t xml:space="preserve">. </w:t>
      </w:r>
    </w:p>
    <w:p w14:paraId="7E5AA020" w14:textId="77777777" w:rsidR="00CD3D14" w:rsidRDefault="00CD3D14" w:rsidP="00115BE3">
      <w:pPr>
        <w:pStyle w:val="NoSpacing"/>
        <w:spacing w:after="0"/>
      </w:pPr>
    </w:p>
    <w:p w14:paraId="2F853300" w14:textId="6CFA1DD3" w:rsidR="00CD3D14" w:rsidRDefault="00CD3D14" w:rsidP="00CD3D14">
      <w:pPr>
        <w:pStyle w:val="Heading2"/>
      </w:pPr>
      <w:r>
        <w:t>Additional</w:t>
      </w:r>
      <w:r w:rsidRPr="00CD3D14">
        <w:t xml:space="preserve"> </w:t>
      </w:r>
      <w:r>
        <w:t>cases exploring the effect of insoluble C-O-H and H</w:t>
      </w:r>
      <w:r w:rsidRPr="001D2176">
        <w:rPr>
          <w:vertAlign w:val="subscript"/>
        </w:rPr>
        <w:t>2</w:t>
      </w:r>
      <w:r>
        <w:t xml:space="preserve">S species on </w:t>
      </w:r>
      <w:proofErr w:type="spellStart"/>
      <w:r w:rsidRPr="003C231C">
        <w:rPr>
          <w:iCs/>
        </w:rPr>
        <w:t>P</w:t>
      </w:r>
      <w:r>
        <w:rPr>
          <w:iCs/>
          <w:vertAlign w:val="superscript"/>
        </w:rPr>
        <w:t>v</w:t>
      </w:r>
      <w:r w:rsidRPr="003C231C">
        <w:rPr>
          <w:vertAlign w:val="subscript"/>
        </w:rPr>
        <w:t>sat</w:t>
      </w:r>
      <w:proofErr w:type="spellEnd"/>
    </w:p>
    <w:p w14:paraId="725BB9A6" w14:textId="69CF05B2" w:rsidR="009C141B" w:rsidRDefault="009C141B" w:rsidP="00147AF9">
      <w:pPr>
        <w:pStyle w:val="NoSpacing"/>
        <w:spacing w:after="0"/>
        <w:ind w:firstLine="360"/>
        <w:jc w:val="both"/>
      </w:pPr>
      <w:r>
        <w:t xml:space="preserve">Here we present additional cases not shown in the </w:t>
      </w:r>
      <w:r w:rsidR="0004021A">
        <w:t xml:space="preserve">main </w:t>
      </w:r>
      <w:r>
        <w:t>text</w:t>
      </w:r>
      <w:r w:rsidR="00E35A66">
        <w:t xml:space="preserve"> </w:t>
      </w:r>
      <w:r w:rsidR="00A85ECB">
        <w:t>that</w:t>
      </w:r>
      <w:r w:rsidR="00E35A66">
        <w:t xml:space="preserve"> explore the effect</w:t>
      </w:r>
      <w:r w:rsidR="00A85ECB">
        <w:t>s</w:t>
      </w:r>
      <w:r w:rsidR="00E35A66">
        <w:t xml:space="preserve"> of assuming reduced C-O-H and H</w:t>
      </w:r>
      <w:r w:rsidR="00E35A66" w:rsidRPr="003C231C">
        <w:rPr>
          <w:vertAlign w:val="subscript"/>
        </w:rPr>
        <w:t>2</w:t>
      </w:r>
      <w:r w:rsidR="00E35A66">
        <w:t>S species are insoluble in the melt</w:t>
      </w:r>
      <w:r w:rsidR="00C746E2">
        <w:t xml:space="preserve"> (</w:t>
      </w:r>
      <w:r w:rsidR="00C746E2">
        <w:fldChar w:fldCharType="begin"/>
      </w:r>
      <w:r w:rsidR="00C746E2">
        <w:instrText xml:space="preserve"> REF _Ref127284315 \h </w:instrText>
      </w:r>
      <w:r w:rsidR="00A85ECB">
        <w:instrText xml:space="preserve"> \* MERGEFORMAT </w:instrText>
      </w:r>
      <w:r w:rsidR="00C746E2">
        <w:fldChar w:fldCharType="separate"/>
      </w:r>
      <w:r w:rsidR="00014C46" w:rsidRPr="003C231C">
        <w:rPr>
          <w:color w:val="000000" w:themeColor="text1"/>
        </w:rPr>
        <w:t xml:space="preserve">Figure </w:t>
      </w:r>
      <w:r w:rsidR="00014C46">
        <w:rPr>
          <w:color w:val="000000" w:themeColor="text1"/>
        </w:rPr>
        <w:t>S</w:t>
      </w:r>
      <w:r w:rsidR="00014C46">
        <w:rPr>
          <w:noProof/>
          <w:color w:val="000000" w:themeColor="text1"/>
        </w:rPr>
        <w:t>10</w:t>
      </w:r>
      <w:r w:rsidR="00C746E2">
        <w:fldChar w:fldCharType="end"/>
      </w:r>
      <w:r w:rsidR="00C746E2">
        <w:t>)</w:t>
      </w:r>
      <w:r>
        <w:t>:</w:t>
      </w:r>
    </w:p>
    <w:p w14:paraId="345A7A69" w14:textId="58DBDF79" w:rsidR="009C141B" w:rsidRPr="003C231C" w:rsidRDefault="009C141B" w:rsidP="003C231C">
      <w:pPr>
        <w:pStyle w:val="ListParagraph"/>
        <w:numPr>
          <w:ilvl w:val="0"/>
          <w:numId w:val="20"/>
        </w:numPr>
        <w:jc w:val="both"/>
        <w:rPr>
          <w:rFonts w:ascii="Times New Roman" w:hAnsi="Times New Roman"/>
          <w:color w:val="000000" w:themeColor="text1"/>
        </w:rPr>
      </w:pPr>
      <w:r w:rsidRPr="003C231C">
        <w:rPr>
          <w:rFonts w:ascii="Times New Roman" w:hAnsi="Times New Roman"/>
          <w:color w:val="000000" w:themeColor="text1"/>
        </w:rPr>
        <w:t>Case 2’: All dissolved C-O-H species in the melt are oxidized, (i.e., only CO</w:t>
      </w:r>
      <w:r w:rsidRPr="003C231C">
        <w:rPr>
          <w:rFonts w:ascii="Times New Roman" w:hAnsi="Times New Roman"/>
          <w:color w:val="000000" w:themeColor="text1"/>
          <w:vertAlign w:val="subscript"/>
        </w:rPr>
        <w:t>3</w:t>
      </w:r>
      <w:r w:rsidRPr="003C231C">
        <w:rPr>
          <w:rFonts w:ascii="Times New Roman" w:hAnsi="Times New Roman"/>
          <w:color w:val="000000" w:themeColor="text1"/>
          <w:vertAlign w:val="superscript"/>
        </w:rPr>
        <w:t>2</w:t>
      </w:r>
      <w:r w:rsidRPr="003C231C">
        <w:rPr>
          <w:rFonts w:ascii="Times New Roman" w:hAnsi="Times New Roman"/>
          <w:color w:val="000000" w:themeColor="text1"/>
          <w:vertAlign w:val="superscript"/>
        </w:rPr>
        <w:noBreakHyphen/>
      </w:r>
      <w:r w:rsidRPr="003C231C">
        <w:rPr>
          <w:rFonts w:ascii="Times New Roman" w:hAnsi="Times New Roman"/>
          <w:color w:val="000000" w:themeColor="text1"/>
        </w:rPr>
        <w:t>, OH</w:t>
      </w:r>
      <w:r w:rsidRPr="003C231C">
        <w:rPr>
          <w:rFonts w:ascii="Times New Roman" w:hAnsi="Times New Roman"/>
          <w:color w:val="000000" w:themeColor="text1"/>
          <w:vertAlign w:val="superscript"/>
        </w:rPr>
        <w:t>-</w:t>
      </w:r>
      <w:r w:rsidRPr="003C231C">
        <w:rPr>
          <w:rFonts w:ascii="Times New Roman" w:hAnsi="Times New Roman"/>
          <w:color w:val="000000" w:themeColor="text1"/>
        </w:rPr>
        <w:t>, and H</w:t>
      </w:r>
      <w:r w:rsidRPr="003C231C">
        <w:rPr>
          <w:rFonts w:ascii="Times New Roman" w:hAnsi="Times New Roman"/>
          <w:color w:val="000000" w:themeColor="text1"/>
          <w:vertAlign w:val="subscript"/>
        </w:rPr>
        <w:t>2</w:t>
      </w:r>
      <w:r w:rsidRPr="003C231C">
        <w:rPr>
          <w:rFonts w:ascii="Times New Roman" w:hAnsi="Times New Roman"/>
          <w:color w:val="000000" w:themeColor="text1"/>
        </w:rPr>
        <w:t>O</w:t>
      </w:r>
      <w:r w:rsidRPr="003C231C">
        <w:rPr>
          <w:rFonts w:ascii="Times New Roman" w:hAnsi="Times New Roman"/>
          <w:color w:val="000000" w:themeColor="text1"/>
          <w:vertAlign w:val="subscript"/>
        </w:rPr>
        <w:t>mol</w:t>
      </w:r>
      <w:r w:rsidRPr="003C231C">
        <w:rPr>
          <w:rFonts w:ascii="Times New Roman" w:hAnsi="Times New Roman"/>
          <w:color w:val="000000" w:themeColor="text1"/>
        </w:rPr>
        <w:t xml:space="preserve"> are dissolved in the melt), but reduced species (i.e., H</w:t>
      </w:r>
      <w:r w:rsidRPr="003C231C">
        <w:rPr>
          <w:rFonts w:ascii="Times New Roman" w:hAnsi="Times New Roman"/>
          <w:color w:val="000000" w:themeColor="text1"/>
          <w:vertAlign w:val="subscript"/>
        </w:rPr>
        <w:t>2</w:t>
      </w:r>
      <w:r w:rsidRPr="003C231C">
        <w:rPr>
          <w:rFonts w:ascii="Times New Roman" w:hAnsi="Times New Roman"/>
          <w:color w:val="000000" w:themeColor="text1"/>
        </w:rPr>
        <w:t>, CO, CH</w:t>
      </w:r>
      <w:r w:rsidRPr="003C231C">
        <w:rPr>
          <w:rFonts w:ascii="Times New Roman" w:hAnsi="Times New Roman"/>
          <w:color w:val="000000" w:themeColor="text1"/>
          <w:vertAlign w:val="subscript"/>
        </w:rPr>
        <w:t>4</w:t>
      </w:r>
      <w:r w:rsidRPr="003C231C">
        <w:rPr>
          <w:rFonts w:ascii="Times New Roman" w:hAnsi="Times New Roman"/>
          <w:color w:val="000000" w:themeColor="text1"/>
        </w:rPr>
        <w:t>) are present in the vapor phase, as is O</w:t>
      </w:r>
      <w:r w:rsidRPr="003C231C">
        <w:rPr>
          <w:rFonts w:ascii="Times New Roman" w:hAnsi="Times New Roman"/>
          <w:color w:val="000000" w:themeColor="text1"/>
          <w:vertAlign w:val="subscript"/>
        </w:rPr>
        <w:t>2</w:t>
      </w:r>
      <w:r w:rsidRPr="003C231C">
        <w:rPr>
          <w:rFonts w:ascii="Times New Roman" w:hAnsi="Times New Roman"/>
          <w:color w:val="000000" w:themeColor="text1"/>
        </w:rPr>
        <w:t xml:space="preserve"> (</w:t>
      </w:r>
      <w:r w:rsidR="009644FA">
        <w:rPr>
          <w:rFonts w:ascii="Times New Roman" w:hAnsi="Times New Roman"/>
          <w:color w:val="000000" w:themeColor="text1"/>
        </w:rPr>
        <w:t xml:space="preserve">Supplementary Material </w:t>
      </w:r>
      <w:r w:rsidR="00E35A66">
        <w:rPr>
          <w:rFonts w:ascii="Times New Roman" w:hAnsi="Times New Roman"/>
          <w:color w:val="000000" w:themeColor="text1"/>
        </w:rPr>
        <w:t xml:space="preserve">Section </w:t>
      </w:r>
      <w:r w:rsidR="00E35A66">
        <w:rPr>
          <w:rFonts w:ascii="Times New Roman" w:hAnsi="Times New Roman"/>
          <w:color w:val="000000" w:themeColor="text1"/>
        </w:rPr>
        <w:fldChar w:fldCharType="begin"/>
      </w:r>
      <w:r w:rsidR="00E35A66">
        <w:rPr>
          <w:rFonts w:ascii="Times New Roman" w:hAnsi="Times New Roman"/>
          <w:color w:val="000000" w:themeColor="text1"/>
        </w:rPr>
        <w:instrText xml:space="preserve"> REF _Ref127253392 \r \h </w:instrText>
      </w:r>
      <w:r w:rsidR="00E35A66">
        <w:rPr>
          <w:rFonts w:ascii="Times New Roman" w:hAnsi="Times New Roman"/>
          <w:color w:val="000000" w:themeColor="text1"/>
        </w:rPr>
      </w:r>
      <w:r w:rsidR="00E35A66">
        <w:rPr>
          <w:rFonts w:ascii="Times New Roman" w:hAnsi="Times New Roman"/>
          <w:color w:val="000000" w:themeColor="text1"/>
        </w:rPr>
        <w:fldChar w:fldCharType="separate"/>
      </w:r>
      <w:r w:rsidR="00E35A66">
        <w:rPr>
          <w:rFonts w:ascii="Times New Roman" w:hAnsi="Times New Roman"/>
          <w:color w:val="000000" w:themeColor="text1"/>
        </w:rPr>
        <w:t>7.1</w:t>
      </w:r>
      <w:r w:rsidR="00E35A66">
        <w:rPr>
          <w:rFonts w:ascii="Times New Roman" w:hAnsi="Times New Roman"/>
          <w:color w:val="000000" w:themeColor="text1"/>
        </w:rPr>
        <w:fldChar w:fldCharType="end"/>
      </w:r>
      <w:r w:rsidRPr="003C231C">
        <w:rPr>
          <w:rFonts w:ascii="Times New Roman" w:hAnsi="Times New Roman"/>
          <w:color w:val="000000" w:themeColor="text1"/>
        </w:rPr>
        <w:t xml:space="preserve">). </w:t>
      </w:r>
      <w:r w:rsidR="00A85ECB">
        <w:rPr>
          <w:rFonts w:ascii="Times New Roman" w:hAnsi="Times New Roman"/>
          <w:color w:val="000000" w:themeColor="text1"/>
        </w:rPr>
        <w:t>This case</w:t>
      </w:r>
      <w:r w:rsidR="0004021A">
        <w:rPr>
          <w:rFonts w:ascii="Times New Roman" w:hAnsi="Times New Roman"/>
          <w:color w:val="000000" w:themeColor="text1"/>
        </w:rPr>
        <w:t xml:space="preserve"> contrast</w:t>
      </w:r>
      <w:r w:rsidR="00A85ECB">
        <w:rPr>
          <w:rFonts w:ascii="Times New Roman" w:hAnsi="Times New Roman"/>
          <w:color w:val="000000" w:themeColor="text1"/>
        </w:rPr>
        <w:t>s</w:t>
      </w:r>
      <w:r w:rsidR="0004021A">
        <w:rPr>
          <w:rFonts w:ascii="Times New Roman" w:hAnsi="Times New Roman"/>
          <w:color w:val="000000" w:themeColor="text1"/>
        </w:rPr>
        <w:t xml:space="preserve"> </w:t>
      </w:r>
      <w:r w:rsidR="00A85ECB">
        <w:rPr>
          <w:rFonts w:ascii="Times New Roman" w:hAnsi="Times New Roman"/>
          <w:color w:val="000000" w:themeColor="text1"/>
        </w:rPr>
        <w:t>with</w:t>
      </w:r>
      <w:r w:rsidR="0004021A">
        <w:rPr>
          <w:rFonts w:ascii="Times New Roman" w:hAnsi="Times New Roman"/>
          <w:color w:val="000000" w:themeColor="text1"/>
        </w:rPr>
        <w:t xml:space="preserve"> case 2 in the main text</w:t>
      </w:r>
      <w:r w:rsidR="00A85ECB">
        <w:rPr>
          <w:rFonts w:ascii="Times New Roman" w:hAnsi="Times New Roman"/>
          <w:color w:val="000000" w:themeColor="text1"/>
        </w:rPr>
        <w:t xml:space="preserve"> in that</w:t>
      </w:r>
      <w:r w:rsidRPr="003C231C">
        <w:rPr>
          <w:rFonts w:ascii="Times New Roman" w:hAnsi="Times New Roman"/>
          <w:color w:val="000000" w:themeColor="text1"/>
        </w:rPr>
        <w:t xml:space="preserve"> reduced C-O-H species</w:t>
      </w:r>
      <w:r w:rsidR="00A85ECB">
        <w:rPr>
          <w:rFonts w:ascii="Times New Roman" w:hAnsi="Times New Roman"/>
          <w:color w:val="000000" w:themeColor="text1"/>
        </w:rPr>
        <w:t xml:space="preserve"> in case 2’</w:t>
      </w:r>
      <w:r w:rsidRPr="003C231C">
        <w:rPr>
          <w:rFonts w:ascii="Times New Roman" w:hAnsi="Times New Roman"/>
          <w:color w:val="000000" w:themeColor="text1"/>
        </w:rPr>
        <w:t xml:space="preserve"> are assumed to be insoluble in the melt.</w:t>
      </w:r>
    </w:p>
    <w:p w14:paraId="2C6B0A72" w14:textId="07A229DF" w:rsidR="0004021A" w:rsidRPr="00147AF9" w:rsidRDefault="002C4604" w:rsidP="00147AF9">
      <w:pPr>
        <w:pStyle w:val="ListParagraph"/>
        <w:numPr>
          <w:ilvl w:val="0"/>
          <w:numId w:val="20"/>
        </w:numPr>
        <w:jc w:val="both"/>
        <w:rPr>
          <w:rFonts w:ascii="Times New Roman" w:hAnsi="Times New Roman"/>
        </w:rPr>
      </w:pPr>
      <w:r w:rsidRPr="003C231C">
        <w:rPr>
          <w:rFonts w:ascii="Times New Roman" w:hAnsi="Times New Roman"/>
          <w:color w:val="000000" w:themeColor="text1"/>
        </w:rPr>
        <w:t xml:space="preserve">Case </w:t>
      </w:r>
      <w:r w:rsidR="009E11C9" w:rsidRPr="003C231C">
        <w:rPr>
          <w:rFonts w:ascii="Times New Roman" w:hAnsi="Times New Roman"/>
          <w:color w:val="000000" w:themeColor="text1"/>
        </w:rPr>
        <w:t>3’</w:t>
      </w:r>
      <w:r w:rsidRPr="003C231C">
        <w:rPr>
          <w:rFonts w:ascii="Times New Roman" w:hAnsi="Times New Roman"/>
          <w:color w:val="000000" w:themeColor="text1"/>
        </w:rPr>
        <w:t>: S-bearing species are present in the melt (</w:t>
      </w:r>
      <w:r w:rsidRPr="003C231C">
        <w:rPr>
          <w:rFonts w:ascii="Times New Roman" w:hAnsi="Times New Roman"/>
        </w:rPr>
        <w:t>SO</w:t>
      </w:r>
      <w:r w:rsidRPr="003C231C">
        <w:rPr>
          <w:rFonts w:ascii="Times New Roman" w:hAnsi="Times New Roman"/>
          <w:vertAlign w:val="subscript"/>
        </w:rPr>
        <w:t>4</w:t>
      </w:r>
      <w:r w:rsidRPr="003C231C">
        <w:rPr>
          <w:rFonts w:ascii="Times New Roman" w:hAnsi="Times New Roman"/>
          <w:vertAlign w:val="superscript"/>
        </w:rPr>
        <w:t>2-</w:t>
      </w:r>
      <w:r w:rsidRPr="003C231C">
        <w:rPr>
          <w:rFonts w:ascii="Times New Roman" w:hAnsi="Times New Roman"/>
        </w:rPr>
        <w:t xml:space="preserve"> and *S</w:t>
      </w:r>
      <w:r w:rsidRPr="003C231C">
        <w:rPr>
          <w:rFonts w:ascii="Times New Roman" w:hAnsi="Times New Roman"/>
          <w:vertAlign w:val="superscript"/>
        </w:rPr>
        <w:t>2-</w:t>
      </w:r>
      <w:r w:rsidRPr="003C231C">
        <w:rPr>
          <w:rFonts w:ascii="Times New Roman" w:hAnsi="Times New Roman"/>
          <w:color w:val="000000" w:themeColor="text1"/>
        </w:rPr>
        <w:t>) and vapor (</w:t>
      </w:r>
      <w:r w:rsidRPr="003C231C">
        <w:rPr>
          <w:rFonts w:ascii="Times New Roman" w:hAnsi="Times New Roman"/>
        </w:rPr>
        <w:t>S</w:t>
      </w:r>
      <w:r w:rsidRPr="003C231C">
        <w:rPr>
          <w:rFonts w:ascii="Times New Roman" w:hAnsi="Times New Roman"/>
          <w:vertAlign w:val="subscript"/>
        </w:rPr>
        <w:t>2</w:t>
      </w:r>
      <w:r w:rsidRPr="003C231C">
        <w:rPr>
          <w:rFonts w:ascii="Times New Roman" w:hAnsi="Times New Roman"/>
        </w:rPr>
        <w:t>, SO</w:t>
      </w:r>
      <w:r w:rsidRPr="003C231C">
        <w:rPr>
          <w:rFonts w:ascii="Times New Roman" w:hAnsi="Times New Roman"/>
          <w:vertAlign w:val="subscript"/>
        </w:rPr>
        <w:t>2</w:t>
      </w:r>
      <w:r w:rsidRPr="003C231C">
        <w:rPr>
          <w:rFonts w:ascii="Times New Roman" w:hAnsi="Times New Roman"/>
        </w:rPr>
        <w:t>, H</w:t>
      </w:r>
      <w:r w:rsidRPr="003C231C">
        <w:rPr>
          <w:rFonts w:ascii="Times New Roman" w:hAnsi="Times New Roman"/>
          <w:vertAlign w:val="subscript"/>
        </w:rPr>
        <w:t>2</w:t>
      </w:r>
      <w:r w:rsidRPr="003C231C">
        <w:rPr>
          <w:rFonts w:ascii="Times New Roman" w:hAnsi="Times New Roman"/>
        </w:rPr>
        <w:t>S, and OCS</w:t>
      </w:r>
      <w:r w:rsidRPr="003C231C">
        <w:rPr>
          <w:rFonts w:ascii="Times New Roman" w:hAnsi="Times New Roman"/>
          <w:color w:val="000000" w:themeColor="text1"/>
        </w:rPr>
        <w:t xml:space="preserve">) </w:t>
      </w:r>
      <w:r w:rsidRPr="003C231C">
        <w:rPr>
          <w:rFonts w:ascii="Times New Roman" w:hAnsi="Times New Roman"/>
        </w:rPr>
        <w:t xml:space="preserve">in addition to the </w:t>
      </w:r>
      <w:r w:rsidR="00E35A66">
        <w:rPr>
          <w:rFonts w:ascii="Times New Roman" w:hAnsi="Times New Roman"/>
        </w:rPr>
        <w:t xml:space="preserve">oxidised and reduced </w:t>
      </w:r>
      <w:r w:rsidRPr="003C231C">
        <w:rPr>
          <w:rFonts w:ascii="Times New Roman" w:hAnsi="Times New Roman"/>
        </w:rPr>
        <w:t xml:space="preserve">C-O-H species included in case </w:t>
      </w:r>
      <w:r w:rsidR="00E35A66">
        <w:rPr>
          <w:rFonts w:ascii="Times New Roman" w:hAnsi="Times New Roman"/>
        </w:rPr>
        <w:t>2 in the main text</w:t>
      </w:r>
      <w:r w:rsidRPr="003C231C">
        <w:rPr>
          <w:rFonts w:ascii="Times New Roman" w:hAnsi="Times New Roman"/>
          <w:color w:val="000000" w:themeColor="text1"/>
        </w:rPr>
        <w:t xml:space="preserve">, but </w:t>
      </w:r>
      <w:r w:rsidRPr="003C231C">
        <w:rPr>
          <w:rFonts w:ascii="Times New Roman" w:hAnsi="Times New Roman"/>
        </w:rPr>
        <w:t>H</w:t>
      </w:r>
      <w:r w:rsidRPr="003C231C">
        <w:rPr>
          <w:rFonts w:ascii="Times New Roman" w:hAnsi="Times New Roman"/>
          <w:vertAlign w:val="subscript"/>
        </w:rPr>
        <w:t>2</w:t>
      </w:r>
      <w:r w:rsidRPr="003C231C">
        <w:rPr>
          <w:rFonts w:ascii="Times New Roman" w:hAnsi="Times New Roman"/>
        </w:rPr>
        <w:t>S</w:t>
      </w:r>
      <w:r w:rsidRPr="003C231C">
        <w:rPr>
          <w:rFonts w:ascii="Times New Roman" w:hAnsi="Times New Roman"/>
          <w:vertAlign w:val="subscript"/>
        </w:rPr>
        <w:t>mol</w:t>
      </w:r>
      <w:r w:rsidRPr="003C231C">
        <w:rPr>
          <w:rFonts w:ascii="Times New Roman" w:hAnsi="Times New Roman"/>
          <w:color w:val="000000" w:themeColor="text1"/>
        </w:rPr>
        <w:t xml:space="preserve"> is treated as insoluble in the melt (</w:t>
      </w:r>
      <w:r w:rsidR="009644FA">
        <w:rPr>
          <w:rFonts w:ascii="Times New Roman" w:hAnsi="Times New Roman"/>
          <w:color w:val="000000" w:themeColor="text1"/>
        </w:rPr>
        <w:t xml:space="preserve">Supplementary Material </w:t>
      </w:r>
      <w:r w:rsidR="00E35A66">
        <w:rPr>
          <w:rFonts w:ascii="Times New Roman" w:hAnsi="Times New Roman"/>
          <w:color w:val="000000" w:themeColor="text1"/>
        </w:rPr>
        <w:t xml:space="preserve">Section </w:t>
      </w:r>
      <w:r w:rsidR="00E35A66">
        <w:rPr>
          <w:rFonts w:ascii="Times New Roman" w:hAnsi="Times New Roman"/>
          <w:color w:val="000000" w:themeColor="text1"/>
        </w:rPr>
        <w:fldChar w:fldCharType="begin"/>
      </w:r>
      <w:r w:rsidR="00E35A66">
        <w:rPr>
          <w:rFonts w:ascii="Times New Roman" w:hAnsi="Times New Roman"/>
          <w:color w:val="000000" w:themeColor="text1"/>
        </w:rPr>
        <w:instrText xml:space="preserve"> REF _Ref127253447 \r \h </w:instrText>
      </w:r>
      <w:r w:rsidR="00E35A66">
        <w:rPr>
          <w:rFonts w:ascii="Times New Roman" w:hAnsi="Times New Roman"/>
          <w:color w:val="000000" w:themeColor="text1"/>
        </w:rPr>
      </w:r>
      <w:r w:rsidR="00E35A66">
        <w:rPr>
          <w:rFonts w:ascii="Times New Roman" w:hAnsi="Times New Roman"/>
          <w:color w:val="000000" w:themeColor="text1"/>
        </w:rPr>
        <w:fldChar w:fldCharType="separate"/>
      </w:r>
      <w:r w:rsidR="00E35A66">
        <w:rPr>
          <w:rFonts w:ascii="Times New Roman" w:hAnsi="Times New Roman"/>
          <w:color w:val="000000" w:themeColor="text1"/>
        </w:rPr>
        <w:t>7.2</w:t>
      </w:r>
      <w:r w:rsidR="00E35A66">
        <w:rPr>
          <w:rFonts w:ascii="Times New Roman" w:hAnsi="Times New Roman"/>
          <w:color w:val="000000" w:themeColor="text1"/>
        </w:rPr>
        <w:fldChar w:fldCharType="end"/>
      </w:r>
      <w:r w:rsidRPr="003C231C">
        <w:rPr>
          <w:rFonts w:ascii="Times New Roman" w:hAnsi="Times New Roman"/>
          <w:color w:val="000000" w:themeColor="text1"/>
        </w:rPr>
        <w:t xml:space="preserve">). </w:t>
      </w:r>
      <w:r w:rsidR="0004021A">
        <w:rPr>
          <w:rFonts w:ascii="Times New Roman" w:hAnsi="Times New Roman"/>
          <w:color w:val="000000" w:themeColor="text1"/>
        </w:rPr>
        <w:t xml:space="preserve">When compared to case 3 </w:t>
      </w:r>
      <w:r w:rsidR="00A85ECB">
        <w:rPr>
          <w:rFonts w:ascii="Times New Roman" w:hAnsi="Times New Roman"/>
          <w:color w:val="000000" w:themeColor="text1"/>
        </w:rPr>
        <w:t xml:space="preserve">described </w:t>
      </w:r>
      <w:r w:rsidR="0004021A">
        <w:rPr>
          <w:rFonts w:ascii="Times New Roman" w:hAnsi="Times New Roman"/>
          <w:color w:val="000000" w:themeColor="text1"/>
        </w:rPr>
        <w:t xml:space="preserve">in the main text, </w:t>
      </w:r>
      <w:r w:rsidR="0004021A">
        <w:rPr>
          <w:rFonts w:ascii="Times New Roman" w:hAnsi="Times New Roman"/>
        </w:rPr>
        <w:t>t</w:t>
      </w:r>
      <w:r w:rsidRPr="003C231C">
        <w:rPr>
          <w:rFonts w:ascii="Times New Roman" w:hAnsi="Times New Roman"/>
        </w:rPr>
        <w:t xml:space="preserve">his allows </w:t>
      </w:r>
      <w:r w:rsidR="00A85ECB">
        <w:rPr>
          <w:rFonts w:ascii="Times New Roman" w:hAnsi="Times New Roman"/>
        </w:rPr>
        <w:t xml:space="preserve">quantitative </w:t>
      </w:r>
      <w:r w:rsidRPr="003C231C">
        <w:rPr>
          <w:rFonts w:ascii="Times New Roman" w:hAnsi="Times New Roman"/>
        </w:rPr>
        <w:t>evaluat</w:t>
      </w:r>
      <w:r w:rsidR="00A85ECB">
        <w:rPr>
          <w:rFonts w:ascii="Times New Roman" w:hAnsi="Times New Roman"/>
        </w:rPr>
        <w:t>ion</w:t>
      </w:r>
      <w:r w:rsidRPr="003C231C">
        <w:rPr>
          <w:rFonts w:ascii="Times New Roman" w:hAnsi="Times New Roman"/>
        </w:rPr>
        <w:t xml:space="preserve"> in the context of our model </w:t>
      </w:r>
      <w:r w:rsidR="00A85ECB">
        <w:rPr>
          <w:rFonts w:ascii="Times New Roman" w:hAnsi="Times New Roman"/>
        </w:rPr>
        <w:t xml:space="preserve">of </w:t>
      </w:r>
      <w:r w:rsidRPr="003C231C">
        <w:rPr>
          <w:rFonts w:ascii="Times New Roman" w:hAnsi="Times New Roman"/>
        </w:rPr>
        <w:t>how the solubility of H</w:t>
      </w:r>
      <w:r w:rsidRPr="003C231C">
        <w:rPr>
          <w:rFonts w:ascii="Times New Roman" w:hAnsi="Times New Roman"/>
          <w:vertAlign w:val="subscript"/>
        </w:rPr>
        <w:t>2</w:t>
      </w:r>
      <w:r w:rsidRPr="003C231C">
        <w:rPr>
          <w:rFonts w:ascii="Times New Roman" w:hAnsi="Times New Roman"/>
        </w:rPr>
        <w:t>S</w:t>
      </w:r>
      <w:r w:rsidRPr="003C231C">
        <w:rPr>
          <w:rFonts w:ascii="Times New Roman" w:hAnsi="Times New Roman"/>
          <w:vertAlign w:val="subscript"/>
        </w:rPr>
        <w:t>mol</w:t>
      </w:r>
      <w:r w:rsidRPr="003C231C">
        <w:rPr>
          <w:rFonts w:ascii="Times New Roman" w:hAnsi="Times New Roman"/>
        </w:rPr>
        <w:t xml:space="preserve"> influences </w:t>
      </w:r>
      <w:proofErr w:type="spellStart"/>
      <w:r w:rsidRPr="003C231C">
        <w:rPr>
          <w:rFonts w:ascii="Times New Roman" w:hAnsi="Times New Roman"/>
          <w:i/>
          <w:iCs/>
        </w:rPr>
        <w:t>P</w:t>
      </w:r>
      <w:r w:rsidRPr="003C231C">
        <w:rPr>
          <w:rFonts w:ascii="Times New Roman" w:hAnsi="Times New Roman"/>
          <w:i/>
          <w:iCs/>
          <w:vertAlign w:val="superscript"/>
        </w:rPr>
        <w:t>v</w:t>
      </w:r>
      <w:r w:rsidRPr="003C231C">
        <w:rPr>
          <w:rFonts w:ascii="Times New Roman" w:hAnsi="Times New Roman"/>
          <w:vertAlign w:val="subscript"/>
        </w:rPr>
        <w:t>sat</w:t>
      </w:r>
      <w:proofErr w:type="spellEnd"/>
      <w:r w:rsidRPr="003C231C">
        <w:rPr>
          <w:rFonts w:ascii="Times New Roman" w:hAnsi="Times New Roman"/>
        </w:rPr>
        <w:t xml:space="preserve"> and the composition of the saturating vapor.</w:t>
      </w:r>
    </w:p>
    <w:p w14:paraId="34C1242F" w14:textId="77777777" w:rsidR="0004021A" w:rsidRDefault="00D511FB" w:rsidP="003C231C">
      <w:pPr>
        <w:pStyle w:val="ListParagraph"/>
        <w:keepNext/>
        <w:spacing w:after="0"/>
        <w:ind w:left="0" w:firstLine="0"/>
        <w:jc w:val="both"/>
      </w:pPr>
      <w:r>
        <w:rPr>
          <w:rFonts w:ascii="Times New Roman" w:hAnsi="Times New Roman"/>
          <w:noProof/>
          <w:color w:val="000000" w:themeColor="text1"/>
        </w:rPr>
        <w:drawing>
          <wp:inline distT="0" distB="0" distL="0" distR="0" wp14:anchorId="0C276364" wp14:editId="77813619">
            <wp:extent cx="5759450" cy="174576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8">
                      <a:extLst>
                        <a:ext uri="{28A0092B-C50C-407E-A947-70E740481C1C}">
                          <a14:useLocalDpi xmlns:a14="http://schemas.microsoft.com/office/drawing/2010/main" val="0"/>
                        </a:ext>
                      </a:extLst>
                    </a:blip>
                    <a:srcRect l="2336" t="19388" r="1926" b="8056"/>
                    <a:stretch/>
                  </pic:blipFill>
                  <pic:spPr bwMode="auto">
                    <a:xfrm>
                      <a:off x="0" y="0"/>
                      <a:ext cx="5760000" cy="1745929"/>
                    </a:xfrm>
                    <a:prstGeom prst="rect">
                      <a:avLst/>
                    </a:prstGeom>
                    <a:ln>
                      <a:noFill/>
                    </a:ln>
                    <a:extLst>
                      <a:ext uri="{53640926-AAD7-44D8-BBD7-CCE9431645EC}">
                        <a14:shadowObscured xmlns:a14="http://schemas.microsoft.com/office/drawing/2010/main"/>
                      </a:ext>
                    </a:extLst>
                  </pic:spPr>
                </pic:pic>
              </a:graphicData>
            </a:graphic>
          </wp:inline>
        </w:drawing>
      </w:r>
    </w:p>
    <w:p w14:paraId="1888A17D" w14:textId="33056082" w:rsidR="003F22E0" w:rsidRPr="00147AF9" w:rsidRDefault="0004021A" w:rsidP="0022237F">
      <w:pPr>
        <w:pStyle w:val="Caption"/>
        <w:spacing w:after="0"/>
        <w:ind w:firstLine="0"/>
        <w:rPr>
          <w:rFonts w:ascii="Times New Roman" w:hAnsi="Times New Roman"/>
          <w:color w:val="000000" w:themeColor="text1"/>
        </w:rPr>
      </w:pPr>
      <w:bookmarkStart w:id="20" w:name="_Ref127284315"/>
      <w:r w:rsidRPr="003C231C">
        <w:rPr>
          <w:color w:val="000000" w:themeColor="text1"/>
          <w:sz w:val="24"/>
          <w:szCs w:val="24"/>
        </w:rPr>
        <w:t xml:space="preserve">Figure </w:t>
      </w:r>
      <w:r>
        <w:rPr>
          <w:color w:val="000000" w:themeColor="text1"/>
          <w:sz w:val="24"/>
          <w:szCs w:val="24"/>
        </w:rPr>
        <w:t>S</w:t>
      </w:r>
      <w:r w:rsidRPr="003C231C">
        <w:rPr>
          <w:color w:val="000000" w:themeColor="text1"/>
          <w:sz w:val="24"/>
          <w:szCs w:val="24"/>
        </w:rPr>
        <w:fldChar w:fldCharType="begin"/>
      </w:r>
      <w:r w:rsidRPr="003C231C">
        <w:rPr>
          <w:color w:val="000000" w:themeColor="text1"/>
          <w:sz w:val="24"/>
          <w:szCs w:val="24"/>
        </w:rPr>
        <w:instrText xml:space="preserve"> SEQ Figure \* ARABIC </w:instrText>
      </w:r>
      <w:r w:rsidRPr="003C231C">
        <w:rPr>
          <w:color w:val="000000" w:themeColor="text1"/>
          <w:sz w:val="24"/>
          <w:szCs w:val="24"/>
        </w:rPr>
        <w:fldChar w:fldCharType="separate"/>
      </w:r>
      <w:r w:rsidR="009E5695">
        <w:rPr>
          <w:noProof/>
          <w:color w:val="000000" w:themeColor="text1"/>
          <w:sz w:val="24"/>
          <w:szCs w:val="24"/>
        </w:rPr>
        <w:t>10</w:t>
      </w:r>
      <w:r w:rsidRPr="003C231C">
        <w:rPr>
          <w:color w:val="000000" w:themeColor="text1"/>
          <w:sz w:val="24"/>
          <w:szCs w:val="24"/>
        </w:rPr>
        <w:fldChar w:fldCharType="end"/>
      </w:r>
      <w:bookmarkEnd w:id="20"/>
      <w:r w:rsidRPr="003C231C">
        <w:rPr>
          <w:color w:val="000000" w:themeColor="text1"/>
          <w:sz w:val="24"/>
          <w:szCs w:val="24"/>
        </w:rPr>
        <w:t xml:space="preserve"> </w:t>
      </w:r>
      <w:r w:rsidRPr="00D968B6">
        <w:rPr>
          <w:rFonts w:ascii="Times New Roman" w:hAnsi="Times New Roman"/>
          <w:i w:val="0"/>
          <w:iCs w:val="0"/>
          <w:color w:val="000000" w:themeColor="text1"/>
          <w:sz w:val="24"/>
          <w:szCs w:val="24"/>
        </w:rPr>
        <w:t xml:space="preserve">Calculated values of </w:t>
      </w:r>
      <w:proofErr w:type="spellStart"/>
      <w:r w:rsidRPr="00D968B6">
        <w:rPr>
          <w:rFonts w:ascii="Times New Roman" w:hAnsi="Times New Roman"/>
          <w:color w:val="000000" w:themeColor="text1"/>
          <w:sz w:val="24"/>
          <w:szCs w:val="24"/>
        </w:rPr>
        <w:t>P</w:t>
      </w:r>
      <w:r w:rsidRPr="00D968B6">
        <w:rPr>
          <w:rFonts w:ascii="Times New Roman" w:hAnsi="Times New Roman"/>
          <w:color w:val="000000" w:themeColor="text1"/>
          <w:sz w:val="24"/>
          <w:szCs w:val="24"/>
          <w:vertAlign w:val="superscript"/>
        </w:rPr>
        <w:t>v</w:t>
      </w:r>
      <w:r w:rsidRPr="00D968B6">
        <w:rPr>
          <w:rFonts w:ascii="Times New Roman" w:hAnsi="Times New Roman"/>
          <w:i w:val="0"/>
          <w:iCs w:val="0"/>
          <w:color w:val="000000" w:themeColor="text1"/>
          <w:sz w:val="24"/>
          <w:szCs w:val="24"/>
          <w:vertAlign w:val="subscript"/>
        </w:rPr>
        <w:t>sat</w:t>
      </w:r>
      <w:proofErr w:type="spellEnd"/>
      <w:r w:rsidRPr="00D968B6">
        <w:rPr>
          <w:rFonts w:ascii="Times New Roman" w:hAnsi="Times New Roman"/>
          <w:i w:val="0"/>
          <w:iCs w:val="0"/>
          <w:color w:val="000000" w:themeColor="text1"/>
          <w:sz w:val="24"/>
          <w:szCs w:val="24"/>
        </w:rPr>
        <w:t xml:space="preserve"> vs. log</w:t>
      </w:r>
      <w:r w:rsidRPr="00D968B6">
        <w:rPr>
          <w:rFonts w:ascii="Times New Roman" w:hAnsi="Times New Roman"/>
          <w:i w:val="0"/>
          <w:iCs w:val="0"/>
          <w:color w:val="000000" w:themeColor="text1"/>
          <w:sz w:val="24"/>
          <w:szCs w:val="24"/>
          <w:vertAlign w:val="subscript"/>
        </w:rPr>
        <w:t>10</w:t>
      </w:r>
      <w:r w:rsidRPr="00D968B6">
        <w:rPr>
          <w:rFonts w:ascii="Times New Roman" w:hAnsi="Times New Roman"/>
          <w:i w:val="0"/>
          <w:iCs w:val="0"/>
          <w:color w:val="000000" w:themeColor="text1"/>
          <w:sz w:val="24"/>
          <w:szCs w:val="24"/>
        </w:rPr>
        <w:t>(</w:t>
      </w:r>
      <w:r w:rsidRPr="00D968B6">
        <w:rPr>
          <w:rFonts w:ascii="Times New Roman" w:hAnsi="Times New Roman"/>
          <w:color w:val="000000" w:themeColor="text1"/>
          <w:sz w:val="24"/>
          <w:szCs w:val="24"/>
        </w:rPr>
        <w:t>f</w:t>
      </w:r>
      <w:r w:rsidRPr="00D968B6">
        <w:rPr>
          <w:rFonts w:ascii="Times New Roman" w:hAnsi="Times New Roman"/>
          <w:i w:val="0"/>
          <w:iCs w:val="0"/>
          <w:color w:val="000000" w:themeColor="text1"/>
          <w:sz w:val="24"/>
          <w:szCs w:val="24"/>
          <w:vertAlign w:val="subscript"/>
        </w:rPr>
        <w:t>O2</w:t>
      </w:r>
      <w:r w:rsidRPr="00D968B6">
        <w:rPr>
          <w:rFonts w:ascii="Times New Roman" w:hAnsi="Times New Roman"/>
          <w:i w:val="0"/>
          <w:iCs w:val="0"/>
          <w:color w:val="000000" w:themeColor="text1"/>
          <w:sz w:val="24"/>
          <w:szCs w:val="24"/>
        </w:rPr>
        <w:t xml:space="preserve">) for a </w:t>
      </w:r>
      <w:r>
        <w:rPr>
          <w:rFonts w:ascii="Times New Roman" w:hAnsi="Times New Roman"/>
          <w:i w:val="0"/>
          <w:iCs w:val="0"/>
          <w:color w:val="000000" w:themeColor="text1"/>
          <w:sz w:val="24"/>
          <w:szCs w:val="24"/>
        </w:rPr>
        <w:t xml:space="preserve">Hawaiian tholeiitic </w:t>
      </w:r>
      <w:r w:rsidRPr="00D968B6">
        <w:rPr>
          <w:rFonts w:ascii="Times New Roman" w:hAnsi="Times New Roman"/>
          <w:i w:val="0"/>
          <w:iCs w:val="0"/>
          <w:color w:val="000000" w:themeColor="text1"/>
          <w:sz w:val="24"/>
          <w:szCs w:val="24"/>
        </w:rPr>
        <w:t>melt</w:t>
      </w:r>
      <w:r>
        <w:rPr>
          <w:rFonts w:ascii="Times New Roman" w:hAnsi="Times New Roman"/>
          <w:i w:val="0"/>
          <w:iCs w:val="0"/>
          <w:color w:val="000000" w:themeColor="text1"/>
          <w:sz w:val="24"/>
          <w:szCs w:val="24"/>
        </w:rPr>
        <w:t xml:space="preserve"> at 1200 </w:t>
      </w:r>
      <w:r w:rsidRPr="00723CE1">
        <w:rPr>
          <w:rFonts w:ascii="Times New Roman" w:hAnsi="Times New Roman"/>
          <w:i w:val="0"/>
          <w:iCs w:val="0"/>
          <w:color w:val="000000" w:themeColor="text1"/>
          <w:sz w:val="24"/>
          <w:szCs w:val="24"/>
        </w:rPr>
        <w:t>°C</w:t>
      </w:r>
      <w:r w:rsidRPr="00D968B6">
        <w:rPr>
          <w:rFonts w:ascii="Times New Roman" w:hAnsi="Times New Roman"/>
          <w:i w:val="0"/>
          <w:iCs w:val="0"/>
          <w:color w:val="000000" w:themeColor="text1"/>
          <w:sz w:val="24"/>
          <w:szCs w:val="24"/>
        </w:rPr>
        <w:t xml:space="preserve"> with H</w:t>
      </w:r>
      <w:r w:rsidRPr="00D968B6">
        <w:rPr>
          <w:rFonts w:ascii="Times New Roman" w:hAnsi="Times New Roman"/>
          <w:i w:val="0"/>
          <w:iCs w:val="0"/>
          <w:color w:val="000000" w:themeColor="text1"/>
          <w:sz w:val="24"/>
          <w:szCs w:val="24"/>
          <w:vertAlign w:val="subscript"/>
        </w:rPr>
        <w:t>2</w:t>
      </w:r>
      <w:r w:rsidRPr="00D968B6">
        <w:rPr>
          <w:rFonts w:ascii="Times New Roman" w:hAnsi="Times New Roman"/>
          <w:i w:val="0"/>
          <w:iCs w:val="0"/>
          <w:color w:val="000000" w:themeColor="text1"/>
          <w:sz w:val="24"/>
          <w:szCs w:val="24"/>
        </w:rPr>
        <w:t xml:space="preserve">O-eq = 3 </w:t>
      </w:r>
      <w:proofErr w:type="spellStart"/>
      <w:r w:rsidRPr="00D968B6">
        <w:rPr>
          <w:rFonts w:ascii="Times New Roman" w:hAnsi="Times New Roman"/>
          <w:i w:val="0"/>
          <w:iCs w:val="0"/>
          <w:color w:val="000000" w:themeColor="text1"/>
          <w:sz w:val="24"/>
          <w:szCs w:val="24"/>
        </w:rPr>
        <w:t>wt</w:t>
      </w:r>
      <w:proofErr w:type="spellEnd"/>
      <w:r w:rsidRPr="00D968B6">
        <w:rPr>
          <w:rFonts w:ascii="Times New Roman" w:hAnsi="Times New Roman"/>
          <w:i w:val="0"/>
          <w:iCs w:val="0"/>
          <w:color w:val="000000" w:themeColor="text1"/>
          <w:sz w:val="24"/>
          <w:szCs w:val="24"/>
        </w:rPr>
        <w:t>%, CO</w:t>
      </w:r>
      <w:r w:rsidRPr="00D968B6">
        <w:rPr>
          <w:rFonts w:ascii="Times New Roman" w:hAnsi="Times New Roman"/>
          <w:i w:val="0"/>
          <w:iCs w:val="0"/>
          <w:color w:val="000000" w:themeColor="text1"/>
          <w:sz w:val="24"/>
          <w:szCs w:val="24"/>
          <w:vertAlign w:val="subscript"/>
        </w:rPr>
        <w:t>2</w:t>
      </w:r>
      <w:r w:rsidRPr="00D968B6">
        <w:rPr>
          <w:rFonts w:ascii="Times New Roman" w:hAnsi="Times New Roman"/>
          <w:i w:val="0"/>
          <w:iCs w:val="0"/>
          <w:color w:val="000000" w:themeColor="text1"/>
          <w:sz w:val="24"/>
          <w:szCs w:val="24"/>
        </w:rPr>
        <w:t>-eq</w:t>
      </w:r>
      <w:r w:rsidRPr="00D968B6" w:rsidDel="00BE1F05">
        <w:rPr>
          <w:rFonts w:ascii="Times New Roman" w:hAnsi="Times New Roman"/>
          <w:i w:val="0"/>
          <w:iCs w:val="0"/>
          <w:color w:val="000000" w:themeColor="text1"/>
          <w:sz w:val="24"/>
          <w:szCs w:val="24"/>
        </w:rPr>
        <w:t xml:space="preserve"> </w:t>
      </w:r>
      <w:r w:rsidRPr="00D968B6">
        <w:rPr>
          <w:rFonts w:ascii="Times New Roman" w:hAnsi="Times New Roman"/>
          <w:i w:val="0"/>
          <w:iCs w:val="0"/>
          <w:color w:val="000000" w:themeColor="text1"/>
          <w:sz w:val="24"/>
          <w:szCs w:val="24"/>
        </w:rPr>
        <w:t>= 1000 ppm, and S-</w:t>
      </w:r>
      <w:proofErr w:type="spellStart"/>
      <w:r w:rsidRPr="00D968B6">
        <w:rPr>
          <w:rFonts w:ascii="Times New Roman" w:hAnsi="Times New Roman"/>
          <w:i w:val="0"/>
          <w:iCs w:val="0"/>
          <w:color w:val="000000" w:themeColor="text1"/>
          <w:sz w:val="24"/>
          <w:szCs w:val="24"/>
        </w:rPr>
        <w:t>eq</w:t>
      </w:r>
      <w:proofErr w:type="spellEnd"/>
      <w:r w:rsidRPr="00D968B6">
        <w:rPr>
          <w:rFonts w:ascii="Times New Roman" w:hAnsi="Times New Roman"/>
          <w:i w:val="0"/>
          <w:iCs w:val="0"/>
          <w:color w:val="000000" w:themeColor="text1"/>
          <w:sz w:val="24"/>
          <w:szCs w:val="24"/>
        </w:rPr>
        <w:t xml:space="preserve"> = 0 ppm (case</w:t>
      </w:r>
      <w:r>
        <w:rPr>
          <w:rFonts w:ascii="Times New Roman" w:hAnsi="Times New Roman"/>
          <w:i w:val="0"/>
          <w:iCs w:val="0"/>
          <w:color w:val="000000" w:themeColor="text1"/>
          <w:sz w:val="24"/>
          <w:szCs w:val="24"/>
        </w:rPr>
        <w:t>s</w:t>
      </w:r>
      <w:r w:rsidRPr="00D968B6">
        <w:rPr>
          <w:rFonts w:ascii="Times New Roman" w:hAnsi="Times New Roman"/>
          <w:i w:val="0"/>
          <w:iCs w:val="0"/>
          <w:color w:val="000000" w:themeColor="text1"/>
          <w:sz w:val="24"/>
          <w:szCs w:val="24"/>
        </w:rPr>
        <w:t xml:space="preserve"> 1</w:t>
      </w:r>
      <w:r>
        <w:rPr>
          <w:rFonts w:ascii="Times New Roman" w:hAnsi="Times New Roman"/>
          <w:i w:val="0"/>
          <w:iCs w:val="0"/>
          <w:color w:val="000000" w:themeColor="text1"/>
          <w:sz w:val="24"/>
          <w:szCs w:val="24"/>
        </w:rPr>
        <w:t xml:space="preserve">, 2, and </w:t>
      </w:r>
      <w:r w:rsidRPr="00D968B6">
        <w:rPr>
          <w:rFonts w:ascii="Times New Roman" w:hAnsi="Times New Roman"/>
          <w:i w:val="0"/>
          <w:iCs w:val="0"/>
          <w:color w:val="000000" w:themeColor="text1"/>
          <w:sz w:val="24"/>
          <w:szCs w:val="24"/>
        </w:rPr>
        <w:t>2</w:t>
      </w:r>
      <w:r>
        <w:rPr>
          <w:rFonts w:ascii="Times New Roman" w:hAnsi="Times New Roman"/>
          <w:i w:val="0"/>
          <w:iCs w:val="0"/>
          <w:color w:val="000000" w:themeColor="text1"/>
          <w:sz w:val="24"/>
          <w:szCs w:val="24"/>
        </w:rPr>
        <w:t xml:space="preserve">’, black-solid, blue-solid, and red-dash, respectively, and using </w:t>
      </w:r>
      <w:proofErr w:type="spellStart"/>
      <w:r>
        <w:rPr>
          <w:rFonts w:ascii="Times New Roman" w:hAnsi="Times New Roman"/>
          <w:i w:val="0"/>
          <w:iCs w:val="0"/>
          <w:color w:val="000000" w:themeColor="text1"/>
          <w:sz w:val="24"/>
          <w:szCs w:val="24"/>
        </w:rPr>
        <w:t>VolatileCalc</w:t>
      </w:r>
      <w:proofErr w:type="spellEnd"/>
      <w:r>
        <w:rPr>
          <w:rFonts w:ascii="Times New Roman" w:hAnsi="Times New Roman"/>
          <w:i w:val="0"/>
          <w:iCs w:val="0"/>
          <w:color w:val="000000" w:themeColor="text1"/>
          <w:sz w:val="24"/>
          <w:szCs w:val="24"/>
        </w:rPr>
        <w:t xml:space="preserve"> by </w:t>
      </w:r>
      <w:r>
        <w:rPr>
          <w:rFonts w:ascii="Times New Roman" w:hAnsi="Times New Roman"/>
          <w:i w:val="0"/>
          <w:iCs w:val="0"/>
          <w:color w:val="000000" w:themeColor="text1"/>
          <w:sz w:val="24"/>
          <w:szCs w:val="24"/>
        </w:rPr>
        <w:fldChar w:fldCharType="begin" w:fldLock="1"/>
      </w:r>
      <w:r w:rsidR="00034877">
        <w:rPr>
          <w:rFonts w:ascii="Times New Roman" w:hAnsi="Times New Roman"/>
          <w:i w:val="0"/>
          <w:iCs w:val="0"/>
          <w:color w:val="000000" w:themeColor="text1"/>
          <w:sz w:val="24"/>
          <w:szCs w:val="24"/>
        </w:rPr>
        <w:instrText xml:space="preserve">ADDIN CSL_CITATION {"citationItems":[{"id":"ITEM-1","itemData":{"DOI":"10.1016/S0098-3004(01)00081-4","ISSN":"00983004","abstract":"We present solution models for the rhyolite–H2O–CO2 and basalt–H2O–CO2 systems at magmatic temperatures and pressures below </w:instrText>
      </w:r>
      <w:r w:rsidR="00034877">
        <w:rPr>
          <w:rFonts w:ascii="Cambria Math" w:hAnsi="Cambria Math" w:cs="Cambria Math"/>
          <w:i w:val="0"/>
          <w:iCs w:val="0"/>
          <w:color w:val="000000" w:themeColor="text1"/>
          <w:sz w:val="24"/>
          <w:szCs w:val="24"/>
        </w:rPr>
        <w:instrText>∼</w:instrText>
      </w:r>
      <w:r w:rsidR="00034877">
        <w:rPr>
          <w:rFonts w:ascii="Times New Roman" w:hAnsi="Times New Roman"/>
          <w:i w:val="0"/>
          <w:iCs w:val="0"/>
          <w:color w:val="000000" w:themeColor="text1"/>
          <w:sz w:val="24"/>
          <w:szCs w:val="24"/>
        </w:rPr>
        <w:instrText>5000bar. The models are coded as macros written in Visual Basic for Applications, for use within Microsoft® Excel (Office’98 and 2000). The series of macros, entitled VolatileCalc, can calculate the following: (1) Saturation pressures for silicate melt of known dissolved H2O and CO2 concentrations and the corresponding equilibrium vapor composition; (2) open- and closed-system degassing paths (melt and vapor composition) for depressurizing rhyolitic and basaltic melts; (3) isobaric solubility curves for rhyolitic and basaltic melts; (4) isoplethic solubility curves (constant vapor composition) for rhyolitic and basaltic melts; (5) polybaric solubility curves for the two end members and (6) end member fugacities of H2O and CO2 vapors at magmatic temperatures. The basalt–H2O–CO2 macros in VolatileCalc are capable of calculating melt–vapor solubility over a range of silicate-melt compositions by using the relationships provided by Dixon (American Mineralogist 82 (1997) 368). The output agrees well with the published solution models and experimental data for silicate melt–vapor systems for pressures below 5000bar.","author":[{"dropping-particle":"","family":"Newman","given":"S.","non-dropping-particle":"","parse-names":false,"suffix":""},{"dropping-particle":"","family":"Lowenstern","given":"J.B.","non-dropping-particle":"","parse-names":false,"suffix":""}],"container-title":"Computers &amp; Geosciences","id":"ITEM-1","issue":"5","issued":{"date-parts":[["2002","6"]]},"page":"597-604","title":"VolatileCalc: a silicate melt–H2O–CO2 solution model written in Visual Basic for excel","type":"article-journal","volume":"28"},"uris":["http://www.mendeley.com/documents/?uuid=f1cbb4e9-515c-455c-a05e-a8209e4b24ac"]}],"mendeley":{"formattedCitation":"(Newman and Lowenstern, 2002)","manualFormatting":"Newman and Lowenstern, 2002","plainTextFormattedCitation":"(Newman and Lowenstern, 2002)","previouslyFormattedCitation":"(Newman and Lowenstern, 2002)"},"properties":{"noteIndex":0},"schema":"https://github.com/citation-style-language/schema/raw/master/csl-citation.json"}</w:instrText>
      </w:r>
      <w:r>
        <w:rPr>
          <w:rFonts w:ascii="Times New Roman" w:hAnsi="Times New Roman"/>
          <w:i w:val="0"/>
          <w:iCs w:val="0"/>
          <w:color w:val="000000" w:themeColor="text1"/>
          <w:sz w:val="24"/>
          <w:szCs w:val="24"/>
        </w:rPr>
        <w:fldChar w:fldCharType="separate"/>
      </w:r>
      <w:r w:rsidRPr="00166545">
        <w:rPr>
          <w:rFonts w:ascii="Times New Roman" w:hAnsi="Times New Roman"/>
          <w:i w:val="0"/>
          <w:iCs w:val="0"/>
          <w:noProof/>
          <w:color w:val="000000" w:themeColor="text1"/>
          <w:sz w:val="24"/>
          <w:szCs w:val="24"/>
        </w:rPr>
        <w:t>Newman and Lowenstern</w:t>
      </w:r>
      <w:r>
        <w:rPr>
          <w:rFonts w:ascii="Times New Roman" w:hAnsi="Times New Roman"/>
          <w:i w:val="0"/>
          <w:iCs w:val="0"/>
          <w:noProof/>
          <w:color w:val="000000" w:themeColor="text1"/>
          <w:sz w:val="24"/>
          <w:szCs w:val="24"/>
        </w:rPr>
        <w:t>,</w:t>
      </w:r>
      <w:r w:rsidRPr="00166545">
        <w:rPr>
          <w:rFonts w:ascii="Times New Roman" w:hAnsi="Times New Roman"/>
          <w:i w:val="0"/>
          <w:iCs w:val="0"/>
          <w:noProof/>
          <w:color w:val="000000" w:themeColor="text1"/>
          <w:sz w:val="24"/>
          <w:szCs w:val="24"/>
        </w:rPr>
        <w:t xml:space="preserve"> 2002</w:t>
      </w:r>
      <w:r>
        <w:rPr>
          <w:rFonts w:ascii="Times New Roman" w:hAnsi="Times New Roman"/>
          <w:i w:val="0"/>
          <w:iCs w:val="0"/>
          <w:color w:val="000000" w:themeColor="text1"/>
          <w:sz w:val="24"/>
          <w:szCs w:val="24"/>
        </w:rPr>
        <w:fldChar w:fldCharType="end"/>
      </w:r>
      <w:r>
        <w:rPr>
          <w:rFonts w:ascii="Times New Roman" w:hAnsi="Times New Roman"/>
          <w:i w:val="0"/>
          <w:iCs w:val="0"/>
          <w:color w:val="000000" w:themeColor="text1"/>
          <w:sz w:val="24"/>
          <w:szCs w:val="24"/>
        </w:rPr>
        <w:t>, black-dash</w:t>
      </w:r>
      <w:r w:rsidRPr="00D968B6">
        <w:rPr>
          <w:rFonts w:ascii="Times New Roman" w:hAnsi="Times New Roman"/>
          <w:i w:val="0"/>
          <w:iCs w:val="0"/>
          <w:color w:val="000000" w:themeColor="text1"/>
          <w:sz w:val="24"/>
          <w:szCs w:val="24"/>
        </w:rPr>
        <w:t xml:space="preserve">) or </w:t>
      </w:r>
      <w:r w:rsidR="00A85ECB">
        <w:rPr>
          <w:rFonts w:ascii="Times New Roman" w:hAnsi="Times New Roman"/>
          <w:i w:val="0"/>
          <w:iCs w:val="0"/>
          <w:color w:val="000000" w:themeColor="text1"/>
          <w:sz w:val="24"/>
          <w:szCs w:val="24"/>
        </w:rPr>
        <w:t>S-</w:t>
      </w:r>
      <w:proofErr w:type="spellStart"/>
      <w:r w:rsidR="00A85ECB">
        <w:rPr>
          <w:rFonts w:ascii="Times New Roman" w:hAnsi="Times New Roman"/>
          <w:i w:val="0"/>
          <w:iCs w:val="0"/>
          <w:color w:val="000000" w:themeColor="text1"/>
          <w:sz w:val="24"/>
          <w:szCs w:val="24"/>
        </w:rPr>
        <w:t>eq</w:t>
      </w:r>
      <w:proofErr w:type="spellEnd"/>
      <w:r w:rsidR="00A85ECB">
        <w:rPr>
          <w:rFonts w:ascii="Times New Roman" w:hAnsi="Times New Roman"/>
          <w:i w:val="0"/>
          <w:iCs w:val="0"/>
          <w:color w:val="000000" w:themeColor="text1"/>
          <w:sz w:val="24"/>
          <w:szCs w:val="24"/>
        </w:rPr>
        <w:t xml:space="preserve"> = </w:t>
      </w:r>
      <w:r w:rsidRPr="00D968B6">
        <w:rPr>
          <w:rFonts w:ascii="Times New Roman" w:hAnsi="Times New Roman"/>
          <w:i w:val="0"/>
          <w:iCs w:val="0"/>
          <w:color w:val="000000" w:themeColor="text1"/>
          <w:sz w:val="24"/>
          <w:szCs w:val="24"/>
        </w:rPr>
        <w:t>1000 ppm (case 3</w:t>
      </w:r>
      <w:r>
        <w:rPr>
          <w:rFonts w:ascii="Times New Roman" w:hAnsi="Times New Roman"/>
          <w:i w:val="0"/>
          <w:iCs w:val="0"/>
          <w:color w:val="000000" w:themeColor="text1"/>
          <w:sz w:val="24"/>
          <w:szCs w:val="24"/>
        </w:rPr>
        <w:t xml:space="preserve"> and 3’, yellow-solid and -dash, respectively</w:t>
      </w:r>
      <w:r w:rsidRPr="00D968B6">
        <w:rPr>
          <w:rFonts w:ascii="Times New Roman" w:hAnsi="Times New Roman"/>
          <w:i w:val="0"/>
          <w:iCs w:val="0"/>
          <w:color w:val="000000" w:themeColor="text1"/>
          <w:sz w:val="24"/>
          <w:szCs w:val="24"/>
        </w:rPr>
        <w:t>)</w:t>
      </w:r>
      <w:r>
        <w:rPr>
          <w:rFonts w:ascii="Times New Roman" w:hAnsi="Times New Roman"/>
          <w:i w:val="0"/>
          <w:iCs w:val="0"/>
          <w:color w:val="000000" w:themeColor="text1"/>
          <w:sz w:val="24"/>
          <w:szCs w:val="24"/>
        </w:rPr>
        <w:t xml:space="preserve">, where </w:t>
      </w:r>
      <w:r w:rsidRPr="00A85ECB">
        <w:rPr>
          <w:rFonts w:ascii="Times New Roman" w:hAnsi="Times New Roman"/>
          <w:b/>
          <w:bCs/>
          <w:i w:val="0"/>
          <w:iCs w:val="0"/>
          <w:color w:val="000000" w:themeColor="text1"/>
          <w:sz w:val="24"/>
          <w:szCs w:val="24"/>
        </w:rPr>
        <w:t>(b)</w:t>
      </w:r>
      <w:r>
        <w:rPr>
          <w:rFonts w:ascii="Times New Roman" w:hAnsi="Times New Roman"/>
          <w:i w:val="0"/>
          <w:iCs w:val="0"/>
          <w:color w:val="000000" w:themeColor="text1"/>
          <w:sz w:val="24"/>
          <w:szCs w:val="24"/>
        </w:rPr>
        <w:t xml:space="preserve"> is a zoomed-in version of </w:t>
      </w:r>
      <w:r w:rsidRPr="00A85ECB">
        <w:rPr>
          <w:rFonts w:ascii="Times New Roman" w:hAnsi="Times New Roman"/>
          <w:b/>
          <w:bCs/>
          <w:i w:val="0"/>
          <w:iCs w:val="0"/>
          <w:color w:val="000000" w:themeColor="text1"/>
          <w:sz w:val="24"/>
          <w:szCs w:val="24"/>
        </w:rPr>
        <w:t>(a)</w:t>
      </w:r>
      <w:r>
        <w:rPr>
          <w:rFonts w:ascii="Times New Roman" w:hAnsi="Times New Roman"/>
          <w:i w:val="0"/>
          <w:iCs w:val="0"/>
          <w:color w:val="000000" w:themeColor="text1"/>
          <w:sz w:val="24"/>
          <w:szCs w:val="24"/>
        </w:rPr>
        <w:t xml:space="preserve"> </w:t>
      </w:r>
      <w:r w:rsidR="00496D67">
        <w:rPr>
          <w:rFonts w:ascii="Times New Roman" w:hAnsi="Times New Roman"/>
          <w:i w:val="0"/>
          <w:iCs w:val="0"/>
          <w:color w:val="000000" w:themeColor="text1"/>
          <w:sz w:val="24"/>
          <w:szCs w:val="24"/>
        </w:rPr>
        <w:t>below</w:t>
      </w:r>
      <w:r>
        <w:rPr>
          <w:rFonts w:ascii="Times New Roman" w:hAnsi="Times New Roman"/>
          <w:i w:val="0"/>
          <w:iCs w:val="0"/>
          <w:color w:val="000000" w:themeColor="text1"/>
          <w:sz w:val="24"/>
          <w:szCs w:val="24"/>
        </w:rPr>
        <w:t xml:space="preserve"> the black-dash line.</w:t>
      </w:r>
      <w:r w:rsidRPr="00D968B6">
        <w:rPr>
          <w:rFonts w:ascii="Times New Roman" w:hAnsi="Times New Roman"/>
          <w:i w:val="0"/>
          <w:iCs w:val="0"/>
          <w:color w:val="000000" w:themeColor="text1"/>
          <w:sz w:val="24"/>
          <w:szCs w:val="24"/>
        </w:rPr>
        <w:t xml:space="preserve"> For these conditions, there is no saturation with graphite, </w:t>
      </w:r>
      <w:proofErr w:type="spellStart"/>
      <w:r w:rsidRPr="00D968B6">
        <w:rPr>
          <w:rFonts w:ascii="Times New Roman" w:hAnsi="Times New Roman"/>
          <w:i w:val="0"/>
          <w:iCs w:val="0"/>
          <w:color w:val="000000" w:themeColor="text1"/>
          <w:sz w:val="24"/>
          <w:szCs w:val="24"/>
        </w:rPr>
        <w:t>sulfide</w:t>
      </w:r>
      <w:proofErr w:type="spellEnd"/>
      <w:r w:rsidRPr="00D968B6">
        <w:rPr>
          <w:rFonts w:ascii="Times New Roman" w:hAnsi="Times New Roman"/>
          <w:i w:val="0"/>
          <w:iCs w:val="0"/>
          <w:color w:val="000000" w:themeColor="text1"/>
          <w:sz w:val="24"/>
          <w:szCs w:val="24"/>
        </w:rPr>
        <w:t xml:space="preserve">, or anhydrite. </w:t>
      </w:r>
    </w:p>
    <w:p w14:paraId="65CB5E4C" w14:textId="7777BC79" w:rsidR="003F22E0" w:rsidRPr="007A64EF" w:rsidRDefault="003F22E0" w:rsidP="0007365C">
      <w:pPr>
        <w:jc w:val="both"/>
        <w:rPr>
          <w:rFonts w:ascii="Times New Roman" w:hAnsi="Times New Roman"/>
          <w:color w:val="000000" w:themeColor="text1"/>
        </w:rPr>
      </w:pPr>
    </w:p>
    <w:p w14:paraId="76F26719" w14:textId="554986F1" w:rsidR="00F54859" w:rsidRPr="00892425" w:rsidRDefault="00F54859" w:rsidP="0022237F">
      <w:pPr>
        <w:pStyle w:val="Heading3"/>
        <w:spacing w:after="200"/>
      </w:pPr>
      <w:bookmarkStart w:id="21" w:name="_Ref87531424"/>
      <w:bookmarkStart w:id="22" w:name="_Ref90542704"/>
      <w:bookmarkStart w:id="23" w:name="_Ref127253392"/>
      <w:r w:rsidRPr="00892425">
        <w:t xml:space="preserve">Case </w:t>
      </w:r>
      <w:r w:rsidR="00A85ECB">
        <w:t>2’</w:t>
      </w:r>
      <w:r w:rsidRPr="00892425">
        <w:t>: reduced C-O-H species in the vapor</w:t>
      </w:r>
      <w:bookmarkEnd w:id="21"/>
      <w:r w:rsidRPr="00892425">
        <w:t xml:space="preserve"> but insoluble in the melt</w:t>
      </w:r>
      <w:bookmarkEnd w:id="22"/>
      <w:r>
        <w:t>.</w:t>
      </w:r>
      <w:bookmarkEnd w:id="23"/>
    </w:p>
    <w:p w14:paraId="2AB31186" w14:textId="01307292" w:rsidR="003034D1" w:rsidRDefault="005F4E99" w:rsidP="0022237F">
      <w:pPr>
        <w:spacing w:after="240"/>
        <w:ind w:firstLine="720"/>
        <w:jc w:val="both"/>
        <w:rPr>
          <w:rFonts w:ascii="Times New Roman" w:hAnsi="Times New Roman"/>
        </w:rPr>
      </w:pPr>
      <w:r>
        <w:rPr>
          <w:rFonts w:ascii="Times New Roman" w:hAnsi="Times New Roman"/>
        </w:rPr>
        <w:t xml:space="preserve">The increase in </w:t>
      </w:r>
      <w:proofErr w:type="spellStart"/>
      <w:r w:rsidRPr="005F4E99">
        <w:rPr>
          <w:rFonts w:ascii="Times New Roman" w:hAnsi="Times New Roman"/>
          <w:i/>
          <w:iCs/>
        </w:rPr>
        <w:t>P</w:t>
      </w:r>
      <w:r w:rsidR="0007365C">
        <w:rPr>
          <w:rFonts w:ascii="Times New Roman" w:hAnsi="Times New Roman"/>
          <w:i/>
          <w:iCs/>
          <w:vertAlign w:val="superscript"/>
        </w:rPr>
        <w:t>v</w:t>
      </w:r>
      <w:r w:rsidRPr="005F4E99">
        <w:rPr>
          <w:rFonts w:ascii="Times New Roman" w:hAnsi="Times New Roman"/>
          <w:vertAlign w:val="subscript"/>
        </w:rPr>
        <w:t>sat</w:t>
      </w:r>
      <w:proofErr w:type="spellEnd"/>
      <w:r>
        <w:rPr>
          <w:rFonts w:ascii="Times New Roman" w:hAnsi="Times New Roman"/>
        </w:rPr>
        <w:t xml:space="preserve"> with decreasing </w:t>
      </w:r>
      <w:r w:rsidRPr="005F4E99">
        <w:rPr>
          <w:rFonts w:ascii="Times New Roman" w:hAnsi="Times New Roman"/>
          <w:i/>
          <w:iCs/>
        </w:rPr>
        <w:t>f</w:t>
      </w:r>
      <w:r w:rsidRPr="005F4E99">
        <w:rPr>
          <w:rFonts w:ascii="Times New Roman" w:hAnsi="Times New Roman"/>
          <w:vertAlign w:val="subscript"/>
        </w:rPr>
        <w:t>O2</w:t>
      </w:r>
      <w:r>
        <w:rPr>
          <w:rFonts w:ascii="Times New Roman" w:hAnsi="Times New Roman"/>
        </w:rPr>
        <w:t xml:space="preserve"> when reduced C-O-H species are treated as insoluble (case 2’) is </w:t>
      </w:r>
      <w:r w:rsidR="0007365C">
        <w:rPr>
          <w:rFonts w:ascii="Times New Roman" w:hAnsi="Times New Roman"/>
        </w:rPr>
        <w:t>larger</w:t>
      </w:r>
      <w:r>
        <w:rPr>
          <w:rFonts w:ascii="Times New Roman" w:hAnsi="Times New Roman"/>
        </w:rPr>
        <w:t xml:space="preserve"> than when reduced C-O-H species have a small but finite solubility (case 2) (</w:t>
      </w:r>
      <w:r w:rsidR="0007365C" w:rsidRPr="0007365C">
        <w:rPr>
          <w:rFonts w:ascii="Times New Roman" w:hAnsi="Times New Roman" w:cs="Times New Roman"/>
        </w:rPr>
        <w:fldChar w:fldCharType="begin"/>
      </w:r>
      <w:r w:rsidR="0007365C" w:rsidRPr="0007365C">
        <w:rPr>
          <w:rFonts w:ascii="Times New Roman" w:hAnsi="Times New Roman" w:cs="Times New Roman"/>
        </w:rPr>
        <w:instrText xml:space="preserve"> REF _Ref127284315 \h </w:instrText>
      </w:r>
      <w:r w:rsidR="0007365C">
        <w:rPr>
          <w:rFonts w:ascii="Times New Roman" w:hAnsi="Times New Roman" w:cs="Times New Roman"/>
        </w:rPr>
        <w:instrText xml:space="preserve"> \* MERGEFORMAT </w:instrText>
      </w:r>
      <w:r w:rsidR="0007365C" w:rsidRPr="0007365C">
        <w:rPr>
          <w:rFonts w:ascii="Times New Roman" w:hAnsi="Times New Roman" w:cs="Times New Roman"/>
        </w:rPr>
      </w:r>
      <w:r w:rsidR="0007365C" w:rsidRPr="0007365C">
        <w:rPr>
          <w:rFonts w:ascii="Times New Roman" w:hAnsi="Times New Roman" w:cs="Times New Roman"/>
        </w:rPr>
        <w:fldChar w:fldCharType="separate"/>
      </w:r>
      <w:r w:rsidR="009644FA" w:rsidRPr="00147AF9">
        <w:rPr>
          <w:rFonts w:ascii="Times New Roman" w:hAnsi="Times New Roman" w:cs="Times New Roman"/>
          <w:color w:val="000000" w:themeColor="text1"/>
        </w:rPr>
        <w:t>Figure S10</w:t>
      </w:r>
      <w:r w:rsidR="0007365C" w:rsidRPr="0007365C">
        <w:rPr>
          <w:rFonts w:ascii="Times New Roman" w:hAnsi="Times New Roman" w:cs="Times New Roman"/>
        </w:rPr>
        <w:fldChar w:fldCharType="end"/>
      </w:r>
      <w:r>
        <w:rPr>
          <w:rFonts w:ascii="Times New Roman" w:hAnsi="Times New Roman"/>
        </w:rPr>
        <w:t xml:space="preserve">). </w:t>
      </w:r>
      <w:r w:rsidR="004B5F0C">
        <w:rPr>
          <w:rFonts w:ascii="Times New Roman" w:hAnsi="Times New Roman"/>
        </w:rPr>
        <w:t>The concentrations of CO</w:t>
      </w:r>
      <w:r w:rsidR="004B5F0C" w:rsidRPr="005F4E99">
        <w:rPr>
          <w:rFonts w:ascii="Times New Roman" w:hAnsi="Times New Roman"/>
          <w:vertAlign w:val="subscript"/>
        </w:rPr>
        <w:t>3</w:t>
      </w:r>
      <w:r w:rsidR="004B5F0C" w:rsidRPr="005F4E99">
        <w:rPr>
          <w:rFonts w:ascii="Times New Roman" w:hAnsi="Times New Roman"/>
          <w:vertAlign w:val="superscript"/>
        </w:rPr>
        <w:t>2-</w:t>
      </w:r>
      <w:r w:rsidR="004B5F0C">
        <w:rPr>
          <w:rFonts w:ascii="Times New Roman" w:hAnsi="Times New Roman"/>
        </w:rPr>
        <w:t xml:space="preserve"> and H</w:t>
      </w:r>
      <w:r w:rsidR="004B5F0C" w:rsidRPr="005F4E99">
        <w:rPr>
          <w:rFonts w:ascii="Times New Roman" w:hAnsi="Times New Roman"/>
          <w:vertAlign w:val="subscript"/>
        </w:rPr>
        <w:t>2</w:t>
      </w:r>
      <w:r w:rsidR="004B5F0C">
        <w:rPr>
          <w:rFonts w:ascii="Times New Roman" w:hAnsi="Times New Roman"/>
        </w:rPr>
        <w:t>O</w:t>
      </w:r>
      <w:r w:rsidR="004B5F0C" w:rsidRPr="005F4E99">
        <w:rPr>
          <w:rFonts w:ascii="Times New Roman" w:hAnsi="Times New Roman"/>
          <w:vertAlign w:val="subscript"/>
        </w:rPr>
        <w:t>T</w:t>
      </w:r>
      <w:r w:rsidR="004B5F0C">
        <w:rPr>
          <w:rFonts w:ascii="Times New Roman" w:hAnsi="Times New Roman"/>
        </w:rPr>
        <w:t xml:space="preserve"> in the melt do not decrease with decreasing </w:t>
      </w:r>
      <w:r w:rsidR="004B5F0C" w:rsidRPr="005F4E99">
        <w:rPr>
          <w:rFonts w:ascii="Times New Roman" w:hAnsi="Times New Roman"/>
          <w:i/>
          <w:iCs/>
        </w:rPr>
        <w:t>f</w:t>
      </w:r>
      <w:r w:rsidR="004B5F0C" w:rsidRPr="005F4E99">
        <w:rPr>
          <w:rFonts w:ascii="Times New Roman" w:hAnsi="Times New Roman"/>
          <w:vertAlign w:val="subscript"/>
        </w:rPr>
        <w:t>O2</w:t>
      </w:r>
      <w:r w:rsidR="004B5F0C">
        <w:rPr>
          <w:rFonts w:ascii="Times New Roman" w:hAnsi="Times New Roman"/>
        </w:rPr>
        <w:t xml:space="preserve"> in case 2’ (</w:t>
      </w:r>
      <w:r w:rsidR="00A85ECB">
        <w:rPr>
          <w:rFonts w:ascii="Times New Roman" w:hAnsi="Times New Roman"/>
        </w:rPr>
        <w:fldChar w:fldCharType="begin"/>
      </w:r>
      <w:r w:rsidR="00A85ECB">
        <w:rPr>
          <w:rFonts w:ascii="Times New Roman" w:hAnsi="Times New Roman"/>
        </w:rPr>
        <w:instrText xml:space="preserve"> REF _Ref86597060 \h </w:instrText>
      </w:r>
      <w:r w:rsidR="00A85ECB">
        <w:rPr>
          <w:rFonts w:ascii="Times New Roman" w:hAnsi="Times New Roman"/>
        </w:rPr>
      </w:r>
      <w:r w:rsidR="00A85ECB">
        <w:rPr>
          <w:rFonts w:ascii="Times New Roman" w:hAnsi="Times New Roman"/>
        </w:rPr>
        <w:fldChar w:fldCharType="separate"/>
      </w:r>
      <w:r w:rsidR="009644FA" w:rsidRPr="00892425">
        <w:rPr>
          <w:rFonts w:ascii="Times New Roman" w:hAnsi="Times New Roman"/>
          <w:color w:val="000000" w:themeColor="text1"/>
        </w:rPr>
        <w:t xml:space="preserve">Figure </w:t>
      </w:r>
      <w:r w:rsidR="009644FA">
        <w:rPr>
          <w:rFonts w:ascii="Times New Roman" w:hAnsi="Times New Roman"/>
          <w:color w:val="000000" w:themeColor="text1"/>
        </w:rPr>
        <w:t>S</w:t>
      </w:r>
      <w:r w:rsidR="009644FA">
        <w:rPr>
          <w:rFonts w:ascii="Times New Roman" w:hAnsi="Times New Roman"/>
          <w:noProof/>
          <w:color w:val="000000" w:themeColor="text1"/>
        </w:rPr>
        <w:t>11</w:t>
      </w:r>
      <w:r w:rsidR="00A85ECB">
        <w:rPr>
          <w:rFonts w:ascii="Times New Roman" w:hAnsi="Times New Roman"/>
        </w:rPr>
        <w:fldChar w:fldCharType="end"/>
      </w:r>
      <w:r w:rsidR="004B5F0C">
        <w:rPr>
          <w:rFonts w:ascii="Times New Roman" w:hAnsi="Times New Roman" w:cs="Times New Roman"/>
        </w:rPr>
        <w:t>d</w:t>
      </w:r>
      <w:r w:rsidR="004B5F0C">
        <w:rPr>
          <w:rFonts w:ascii="Times New Roman" w:hAnsi="Times New Roman"/>
        </w:rPr>
        <w:t xml:space="preserve">) because C and H </w:t>
      </w:r>
      <w:r w:rsidR="00A85ECB">
        <w:rPr>
          <w:rFonts w:ascii="Times New Roman" w:hAnsi="Times New Roman"/>
        </w:rPr>
        <w:t xml:space="preserve">in the melt </w:t>
      </w:r>
      <w:r w:rsidR="004B5F0C">
        <w:rPr>
          <w:rFonts w:ascii="Times New Roman" w:hAnsi="Times New Roman"/>
        </w:rPr>
        <w:t>cannot convert to reduced C-O-H species because they are insoluble. Hence,</w:t>
      </w:r>
      <w:r>
        <w:rPr>
          <w:rFonts w:ascii="Times New Roman" w:hAnsi="Times New Roman"/>
        </w:rPr>
        <w:t xml:space="preserve"> the sum of the partial pressures of the oxidised C-O-H species decreases less with decreasing </w:t>
      </w:r>
      <w:r w:rsidRPr="005F4E99">
        <w:rPr>
          <w:rFonts w:ascii="Times New Roman" w:hAnsi="Times New Roman"/>
          <w:i/>
          <w:iCs/>
        </w:rPr>
        <w:t>f</w:t>
      </w:r>
      <w:r w:rsidRPr="005F4E99">
        <w:rPr>
          <w:rFonts w:ascii="Times New Roman" w:hAnsi="Times New Roman"/>
          <w:vertAlign w:val="subscript"/>
        </w:rPr>
        <w:t>O2</w:t>
      </w:r>
      <w:r>
        <w:rPr>
          <w:rFonts w:ascii="Times New Roman" w:hAnsi="Times New Roman"/>
        </w:rPr>
        <w:t xml:space="preserve"> for case 2’ than case 2</w:t>
      </w:r>
      <w:r w:rsidR="00F4448F">
        <w:rPr>
          <w:rFonts w:ascii="Times New Roman" w:hAnsi="Times New Roman"/>
        </w:rPr>
        <w:t xml:space="preserve"> (</w:t>
      </w:r>
      <w:r w:rsidR="00F4448F">
        <w:rPr>
          <w:rFonts w:ascii="Times New Roman" w:hAnsi="Times New Roman"/>
        </w:rPr>
        <w:fldChar w:fldCharType="begin"/>
      </w:r>
      <w:r w:rsidR="00F4448F">
        <w:rPr>
          <w:rFonts w:ascii="Times New Roman" w:hAnsi="Times New Roman"/>
        </w:rPr>
        <w:instrText xml:space="preserve"> REF _Ref86597060 \h </w:instrText>
      </w:r>
      <w:r w:rsidR="00F4448F">
        <w:rPr>
          <w:rFonts w:ascii="Times New Roman" w:hAnsi="Times New Roman"/>
        </w:rPr>
      </w:r>
      <w:r w:rsidR="00F4448F">
        <w:rPr>
          <w:rFonts w:ascii="Times New Roman" w:hAnsi="Times New Roman"/>
        </w:rPr>
        <w:fldChar w:fldCharType="separate"/>
      </w:r>
      <w:r w:rsidR="00F4448F" w:rsidRPr="00892425">
        <w:rPr>
          <w:rFonts w:ascii="Times New Roman" w:hAnsi="Times New Roman"/>
          <w:color w:val="000000" w:themeColor="text1"/>
        </w:rPr>
        <w:t xml:space="preserve">Figure </w:t>
      </w:r>
      <w:r w:rsidR="00F4448F">
        <w:rPr>
          <w:rFonts w:ascii="Times New Roman" w:hAnsi="Times New Roman"/>
          <w:color w:val="000000" w:themeColor="text1"/>
        </w:rPr>
        <w:t>S</w:t>
      </w:r>
      <w:r w:rsidR="00F4448F">
        <w:rPr>
          <w:rFonts w:ascii="Times New Roman" w:hAnsi="Times New Roman"/>
          <w:noProof/>
          <w:color w:val="000000" w:themeColor="text1"/>
        </w:rPr>
        <w:t>11</w:t>
      </w:r>
      <w:r w:rsidR="00F4448F">
        <w:rPr>
          <w:rFonts w:ascii="Times New Roman" w:hAnsi="Times New Roman"/>
        </w:rPr>
        <w:fldChar w:fldCharType="end"/>
      </w:r>
      <w:r w:rsidR="00F4448F">
        <w:rPr>
          <w:rFonts w:ascii="Times New Roman" w:hAnsi="Times New Roman" w:cs="Times New Roman"/>
        </w:rPr>
        <w:t>a</w:t>
      </w:r>
      <w:r w:rsidR="00F4448F">
        <w:rPr>
          <w:rFonts w:ascii="Times New Roman" w:hAnsi="Times New Roman"/>
        </w:rPr>
        <w:t>)</w:t>
      </w:r>
      <w:r w:rsidR="004B5F0C">
        <w:rPr>
          <w:rFonts w:ascii="Times New Roman" w:hAnsi="Times New Roman"/>
        </w:rPr>
        <w:t>.</w:t>
      </w:r>
      <w:r>
        <w:rPr>
          <w:rFonts w:ascii="Times New Roman" w:hAnsi="Times New Roman"/>
        </w:rPr>
        <w:t xml:space="preserve"> </w:t>
      </w:r>
      <w:r w:rsidR="009E3CD9">
        <w:rPr>
          <w:rFonts w:ascii="Times New Roman" w:hAnsi="Times New Roman"/>
        </w:rPr>
        <w:t>At the same time</w:t>
      </w:r>
      <w:r>
        <w:rPr>
          <w:rFonts w:ascii="Times New Roman" w:hAnsi="Times New Roman"/>
        </w:rPr>
        <w:t xml:space="preserve">, the sum of the partial pressures of the reduced C-O-H species increases more with decreasing </w:t>
      </w:r>
      <w:r w:rsidRPr="005F4E99">
        <w:rPr>
          <w:rFonts w:ascii="Times New Roman" w:hAnsi="Times New Roman"/>
          <w:i/>
          <w:iCs/>
        </w:rPr>
        <w:t>f</w:t>
      </w:r>
      <w:r w:rsidRPr="005F4E99">
        <w:rPr>
          <w:rFonts w:ascii="Times New Roman" w:hAnsi="Times New Roman"/>
          <w:vertAlign w:val="subscript"/>
        </w:rPr>
        <w:t>O2</w:t>
      </w:r>
      <w:r>
        <w:rPr>
          <w:rFonts w:ascii="Times New Roman" w:hAnsi="Times New Roman"/>
        </w:rPr>
        <w:t xml:space="preserve"> in case 2’ than case 2 (</w:t>
      </w:r>
      <w:r w:rsidR="00A85ECB">
        <w:rPr>
          <w:rFonts w:ascii="Times New Roman" w:hAnsi="Times New Roman"/>
        </w:rPr>
        <w:fldChar w:fldCharType="begin"/>
      </w:r>
      <w:r w:rsidR="00A85ECB">
        <w:rPr>
          <w:rFonts w:ascii="Times New Roman" w:hAnsi="Times New Roman"/>
        </w:rPr>
        <w:instrText xml:space="preserve"> REF _Ref86597060 \h </w:instrText>
      </w:r>
      <w:r w:rsidR="00A85ECB">
        <w:rPr>
          <w:rFonts w:ascii="Times New Roman" w:hAnsi="Times New Roman"/>
        </w:rPr>
      </w:r>
      <w:r w:rsidR="00A85ECB">
        <w:rPr>
          <w:rFonts w:ascii="Times New Roman" w:hAnsi="Times New Roman"/>
        </w:rPr>
        <w:fldChar w:fldCharType="separate"/>
      </w:r>
      <w:r w:rsidR="009644FA" w:rsidRPr="00892425">
        <w:rPr>
          <w:rFonts w:ascii="Times New Roman" w:hAnsi="Times New Roman"/>
          <w:color w:val="000000" w:themeColor="text1"/>
        </w:rPr>
        <w:t xml:space="preserve">Figure </w:t>
      </w:r>
      <w:r w:rsidR="009644FA">
        <w:rPr>
          <w:rFonts w:ascii="Times New Roman" w:hAnsi="Times New Roman"/>
          <w:color w:val="000000" w:themeColor="text1"/>
        </w:rPr>
        <w:t>S</w:t>
      </w:r>
      <w:r w:rsidR="009644FA">
        <w:rPr>
          <w:rFonts w:ascii="Times New Roman" w:hAnsi="Times New Roman"/>
          <w:noProof/>
          <w:color w:val="000000" w:themeColor="text1"/>
        </w:rPr>
        <w:t>11</w:t>
      </w:r>
      <w:r w:rsidR="00A85ECB">
        <w:rPr>
          <w:rFonts w:ascii="Times New Roman" w:hAnsi="Times New Roman"/>
        </w:rPr>
        <w:fldChar w:fldCharType="end"/>
      </w:r>
      <w:r>
        <w:rPr>
          <w:rFonts w:ascii="Times New Roman" w:hAnsi="Times New Roman"/>
        </w:rPr>
        <w:t>b) because the reduced C-O-H species are insoluble (</w:t>
      </w:r>
      <w:r w:rsidR="00A85ECB">
        <w:rPr>
          <w:rFonts w:ascii="Times New Roman" w:hAnsi="Times New Roman"/>
        </w:rPr>
        <w:fldChar w:fldCharType="begin"/>
      </w:r>
      <w:r w:rsidR="00A85ECB">
        <w:rPr>
          <w:rFonts w:ascii="Times New Roman" w:hAnsi="Times New Roman"/>
        </w:rPr>
        <w:instrText xml:space="preserve"> REF _Ref86597060 \h </w:instrText>
      </w:r>
      <w:r w:rsidR="00A85ECB">
        <w:rPr>
          <w:rFonts w:ascii="Times New Roman" w:hAnsi="Times New Roman"/>
        </w:rPr>
      </w:r>
      <w:r w:rsidR="00A85ECB">
        <w:rPr>
          <w:rFonts w:ascii="Times New Roman" w:hAnsi="Times New Roman"/>
        </w:rPr>
        <w:fldChar w:fldCharType="separate"/>
      </w:r>
      <w:r w:rsidR="00A85ECB" w:rsidRPr="00892425">
        <w:rPr>
          <w:rFonts w:ascii="Times New Roman" w:hAnsi="Times New Roman"/>
          <w:color w:val="000000" w:themeColor="text1"/>
        </w:rPr>
        <w:t xml:space="preserve">Figure </w:t>
      </w:r>
      <w:r w:rsidR="00A85ECB">
        <w:rPr>
          <w:rFonts w:ascii="Times New Roman" w:hAnsi="Times New Roman"/>
          <w:color w:val="000000" w:themeColor="text1"/>
        </w:rPr>
        <w:t>S</w:t>
      </w:r>
      <w:r w:rsidR="00A85ECB">
        <w:rPr>
          <w:rFonts w:ascii="Times New Roman" w:hAnsi="Times New Roman"/>
          <w:noProof/>
          <w:color w:val="000000" w:themeColor="text1"/>
        </w:rPr>
        <w:t>11</w:t>
      </w:r>
      <w:r w:rsidR="00A85ECB">
        <w:rPr>
          <w:rFonts w:ascii="Times New Roman" w:hAnsi="Times New Roman"/>
        </w:rPr>
        <w:fldChar w:fldCharType="end"/>
      </w:r>
      <w:r w:rsidR="0007365C">
        <w:rPr>
          <w:rFonts w:ascii="Times New Roman" w:hAnsi="Times New Roman" w:cs="Times New Roman"/>
        </w:rPr>
        <w:t>d</w:t>
      </w:r>
      <w:r>
        <w:rPr>
          <w:rFonts w:ascii="Times New Roman" w:hAnsi="Times New Roman"/>
        </w:rPr>
        <w:t>).</w:t>
      </w:r>
      <w:r w:rsidRPr="005F4E99">
        <w:rPr>
          <w:rFonts w:ascii="Times New Roman" w:hAnsi="Times New Roman"/>
        </w:rPr>
        <w:t xml:space="preserve"> </w:t>
      </w:r>
      <w:r w:rsidRPr="00892425">
        <w:rPr>
          <w:rFonts w:ascii="Times New Roman" w:hAnsi="Times New Roman"/>
        </w:rPr>
        <w:t xml:space="preserve">Overall, this leads to </w:t>
      </w:r>
      <w:r w:rsidR="004B5F0C">
        <w:rPr>
          <w:rFonts w:ascii="Times New Roman" w:hAnsi="Times New Roman"/>
        </w:rPr>
        <w:t>larger</w:t>
      </w:r>
      <w:r w:rsidRPr="00892425">
        <w:rPr>
          <w:rFonts w:ascii="Times New Roman" w:hAnsi="Times New Roman"/>
        </w:rPr>
        <w:t xml:space="preserve"> </w:t>
      </w:r>
      <w:proofErr w:type="spellStart"/>
      <w:r w:rsidRPr="00892425">
        <w:rPr>
          <w:rFonts w:ascii="Times New Roman" w:hAnsi="Times New Roman"/>
          <w:i/>
          <w:iCs/>
        </w:rPr>
        <w:t>P</w:t>
      </w:r>
      <w:r w:rsidRPr="00892425">
        <w:rPr>
          <w:rFonts w:ascii="Times New Roman" w:hAnsi="Times New Roman"/>
          <w:i/>
          <w:iCs/>
          <w:vertAlign w:val="superscript"/>
        </w:rPr>
        <w:t>v</w:t>
      </w:r>
      <w:r w:rsidRPr="00892425">
        <w:rPr>
          <w:rFonts w:ascii="Times New Roman" w:hAnsi="Times New Roman"/>
          <w:vertAlign w:val="subscript"/>
        </w:rPr>
        <w:t>sat</w:t>
      </w:r>
      <w:proofErr w:type="spellEnd"/>
      <w:r w:rsidRPr="00892425">
        <w:rPr>
          <w:rFonts w:ascii="Times New Roman" w:hAnsi="Times New Roman"/>
        </w:rPr>
        <w:t xml:space="preserve"> </w:t>
      </w:r>
      <w:r w:rsidR="004B5F0C">
        <w:rPr>
          <w:rFonts w:ascii="Times New Roman" w:hAnsi="Times New Roman"/>
        </w:rPr>
        <w:t xml:space="preserve">in case 2’ </w:t>
      </w:r>
      <w:r>
        <w:rPr>
          <w:rFonts w:ascii="Times New Roman" w:hAnsi="Times New Roman"/>
        </w:rPr>
        <w:t>but t</w:t>
      </w:r>
      <w:r w:rsidRPr="00892425">
        <w:rPr>
          <w:rFonts w:ascii="Times New Roman" w:hAnsi="Times New Roman"/>
        </w:rPr>
        <w:t xml:space="preserve">he magnitude of this effect depends </w:t>
      </w:r>
      <w:r w:rsidR="009E3CD9">
        <w:rPr>
          <w:rFonts w:ascii="Times New Roman" w:hAnsi="Times New Roman"/>
        </w:rPr>
        <w:t xml:space="preserve">strongly </w:t>
      </w:r>
      <w:r w:rsidRPr="00892425">
        <w:rPr>
          <w:rFonts w:ascii="Times New Roman" w:hAnsi="Times New Roman"/>
        </w:rPr>
        <w:t>on the solubility of the reduced species in the melt.</w:t>
      </w:r>
      <w:r w:rsidRPr="005F4E99">
        <w:rPr>
          <w:rFonts w:ascii="Times New Roman" w:hAnsi="Times New Roman"/>
        </w:rPr>
        <w:t xml:space="preserve"> </w:t>
      </w:r>
      <w:r w:rsidR="009E3CD9">
        <w:rPr>
          <w:rFonts w:ascii="Times New Roman" w:hAnsi="Times New Roman"/>
        </w:rPr>
        <w:t xml:space="preserve">As a result, </w:t>
      </w:r>
      <w:proofErr w:type="spellStart"/>
      <w:r w:rsidR="004B5F0C" w:rsidRPr="00892425">
        <w:rPr>
          <w:rFonts w:ascii="Times New Roman" w:hAnsi="Times New Roman"/>
          <w:i/>
          <w:iCs/>
        </w:rPr>
        <w:t>P</w:t>
      </w:r>
      <w:r w:rsidR="004B5F0C" w:rsidRPr="00892425">
        <w:rPr>
          <w:rFonts w:ascii="Times New Roman" w:hAnsi="Times New Roman"/>
          <w:i/>
          <w:iCs/>
          <w:vertAlign w:val="superscript"/>
        </w:rPr>
        <w:t>v</w:t>
      </w:r>
      <w:r w:rsidR="004B5F0C" w:rsidRPr="00892425">
        <w:rPr>
          <w:rFonts w:ascii="Times New Roman" w:hAnsi="Times New Roman"/>
          <w:vertAlign w:val="subscript"/>
        </w:rPr>
        <w:t>sat</w:t>
      </w:r>
      <w:proofErr w:type="spellEnd"/>
      <w:r w:rsidR="004B5F0C" w:rsidRPr="00892425">
        <w:rPr>
          <w:rFonts w:ascii="Times New Roman" w:hAnsi="Times New Roman"/>
        </w:rPr>
        <w:t xml:space="preserve"> can be significantly overestimated if the reduced species are treated as completely </w:t>
      </w:r>
      <w:r w:rsidR="004B5F0C" w:rsidRPr="00892425">
        <w:rPr>
          <w:rFonts w:ascii="Times New Roman" w:hAnsi="Times New Roman"/>
        </w:rPr>
        <w:lastRenderedPageBreak/>
        <w:t xml:space="preserve">insoluble in the melt. </w:t>
      </w:r>
      <w:r w:rsidRPr="00892425">
        <w:rPr>
          <w:rFonts w:ascii="Times New Roman" w:hAnsi="Times New Roman"/>
        </w:rPr>
        <w:t xml:space="preserve">The comparison between cases </w:t>
      </w:r>
      <w:r>
        <w:rPr>
          <w:rFonts w:ascii="Times New Roman" w:hAnsi="Times New Roman"/>
        </w:rPr>
        <w:t>2</w:t>
      </w:r>
      <w:r w:rsidRPr="00892425">
        <w:rPr>
          <w:rFonts w:ascii="Times New Roman" w:hAnsi="Times New Roman"/>
        </w:rPr>
        <w:t xml:space="preserve"> and </w:t>
      </w:r>
      <w:r>
        <w:rPr>
          <w:rFonts w:ascii="Times New Roman" w:hAnsi="Times New Roman"/>
        </w:rPr>
        <w:t>2’</w:t>
      </w:r>
      <w:r w:rsidRPr="00892425">
        <w:rPr>
          <w:rFonts w:ascii="Times New Roman" w:hAnsi="Times New Roman"/>
        </w:rPr>
        <w:t xml:space="preserve"> highlights the importance of including heterogeneous equilibria for reduced species when calculating </w:t>
      </w:r>
      <w:proofErr w:type="spellStart"/>
      <w:r w:rsidRPr="00892425">
        <w:rPr>
          <w:rFonts w:ascii="Times New Roman" w:hAnsi="Times New Roman"/>
          <w:i/>
          <w:iCs/>
        </w:rPr>
        <w:t>P</w:t>
      </w:r>
      <w:r w:rsidRPr="00892425">
        <w:rPr>
          <w:rFonts w:ascii="Times New Roman" w:hAnsi="Times New Roman"/>
          <w:i/>
          <w:iCs/>
          <w:vertAlign w:val="superscript"/>
        </w:rPr>
        <w:t>v</w:t>
      </w:r>
      <w:r w:rsidRPr="00892425">
        <w:rPr>
          <w:rFonts w:ascii="Times New Roman" w:hAnsi="Times New Roman"/>
          <w:vertAlign w:val="subscript"/>
        </w:rPr>
        <w:t>sat</w:t>
      </w:r>
      <w:proofErr w:type="spellEnd"/>
      <w:r w:rsidRPr="00892425">
        <w:rPr>
          <w:rFonts w:ascii="Times New Roman" w:hAnsi="Times New Roman"/>
        </w:rPr>
        <w:t xml:space="preserve"> at reduced conditions</w:t>
      </w:r>
      <w:r w:rsidR="0007365C">
        <w:rPr>
          <w:rFonts w:ascii="Times New Roman" w:hAnsi="Times New Roman"/>
        </w:rPr>
        <w:t xml:space="preserve"> (</w:t>
      </w:r>
      <w:r w:rsidR="00A85ECB">
        <w:rPr>
          <w:rFonts w:ascii="Times New Roman" w:hAnsi="Times New Roman"/>
        </w:rPr>
        <w:fldChar w:fldCharType="begin"/>
      </w:r>
      <w:r w:rsidR="00A85ECB">
        <w:rPr>
          <w:rFonts w:ascii="Times New Roman" w:hAnsi="Times New Roman"/>
        </w:rPr>
        <w:instrText xml:space="preserve"> REF _Ref86597060 \h </w:instrText>
      </w:r>
      <w:r w:rsidR="00A85ECB">
        <w:rPr>
          <w:rFonts w:ascii="Times New Roman" w:hAnsi="Times New Roman"/>
        </w:rPr>
      </w:r>
      <w:r w:rsidR="00A85ECB">
        <w:rPr>
          <w:rFonts w:ascii="Times New Roman" w:hAnsi="Times New Roman"/>
        </w:rPr>
        <w:fldChar w:fldCharType="separate"/>
      </w:r>
      <w:r w:rsidR="00A85ECB" w:rsidRPr="00892425">
        <w:rPr>
          <w:rFonts w:ascii="Times New Roman" w:hAnsi="Times New Roman"/>
          <w:color w:val="000000" w:themeColor="text1"/>
        </w:rPr>
        <w:t xml:space="preserve">Figure </w:t>
      </w:r>
      <w:r w:rsidR="00A85ECB">
        <w:rPr>
          <w:rFonts w:ascii="Times New Roman" w:hAnsi="Times New Roman"/>
          <w:color w:val="000000" w:themeColor="text1"/>
        </w:rPr>
        <w:t>S</w:t>
      </w:r>
      <w:r w:rsidR="00A85ECB">
        <w:rPr>
          <w:rFonts w:ascii="Times New Roman" w:hAnsi="Times New Roman"/>
          <w:noProof/>
          <w:color w:val="000000" w:themeColor="text1"/>
        </w:rPr>
        <w:t>11</w:t>
      </w:r>
      <w:r w:rsidR="00A85ECB">
        <w:rPr>
          <w:rFonts w:ascii="Times New Roman" w:hAnsi="Times New Roman"/>
        </w:rPr>
        <w:fldChar w:fldCharType="end"/>
      </w:r>
      <w:r w:rsidR="0007365C">
        <w:rPr>
          <w:rFonts w:ascii="Times New Roman" w:hAnsi="Times New Roman" w:cs="Times New Roman"/>
        </w:rPr>
        <w:t>d</w:t>
      </w:r>
      <w:r w:rsidR="0007365C">
        <w:rPr>
          <w:rFonts w:ascii="Times New Roman" w:hAnsi="Times New Roman"/>
        </w:rPr>
        <w:t>)</w:t>
      </w:r>
      <w:r w:rsidRPr="00892425">
        <w:rPr>
          <w:rFonts w:ascii="Times New Roman" w:hAnsi="Times New Roman"/>
        </w:rPr>
        <w:t>. Quantifying the magnitude of this effect for natural systems will, however, depend on improved measurements of the solubility in of the reduced species in naturally occurring silicate melts</w:t>
      </w:r>
      <w:r w:rsidR="009E3CD9">
        <w:rPr>
          <w:rFonts w:ascii="Times New Roman" w:hAnsi="Times New Roman"/>
        </w:rPr>
        <w:t xml:space="preserve"> and of their dependence on melt composition</w:t>
      </w:r>
      <w:r w:rsidRPr="00892425">
        <w:rPr>
          <w:rFonts w:ascii="Times New Roman" w:hAnsi="Times New Roman"/>
        </w:rPr>
        <w:t>.</w:t>
      </w:r>
    </w:p>
    <w:p w14:paraId="7E94D093" w14:textId="016AE07C" w:rsidR="0007365C" w:rsidRPr="003C231C" w:rsidRDefault="0007365C" w:rsidP="0007365C">
      <w:pPr>
        <w:pStyle w:val="ListParagraph"/>
        <w:spacing w:after="0"/>
        <w:ind w:left="0" w:firstLine="0"/>
        <w:jc w:val="both"/>
        <w:rPr>
          <w:rFonts w:ascii="Times New Roman" w:hAnsi="Times New Roman"/>
          <w:color w:val="000000" w:themeColor="text1"/>
        </w:rPr>
      </w:pPr>
      <w:r w:rsidRPr="00AB1CE0">
        <w:rPr>
          <w:rFonts w:ascii="Times New Roman" w:hAnsi="Times New Roman"/>
          <w:noProof/>
          <w:color w:val="000000" w:themeColor="text1"/>
        </w:rPr>
        <w:drawing>
          <wp:inline distT="0" distB="0" distL="0" distR="0" wp14:anchorId="183B1F0F" wp14:editId="2F233E8B">
            <wp:extent cx="5731200" cy="502181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095" t="7879" r="6684" b="3305"/>
                    <a:stretch/>
                  </pic:blipFill>
                  <pic:spPr bwMode="auto">
                    <a:xfrm>
                      <a:off x="0" y="0"/>
                      <a:ext cx="5731200" cy="5021818"/>
                    </a:xfrm>
                    <a:prstGeom prst="rect">
                      <a:avLst/>
                    </a:prstGeom>
                    <a:ln>
                      <a:noFill/>
                    </a:ln>
                    <a:extLst>
                      <a:ext uri="{53640926-AAD7-44D8-BBD7-CCE9431645EC}">
                        <a14:shadowObscured xmlns:a14="http://schemas.microsoft.com/office/drawing/2010/main"/>
                      </a:ext>
                    </a:extLst>
                  </pic:spPr>
                </pic:pic>
              </a:graphicData>
            </a:graphic>
          </wp:inline>
        </w:drawing>
      </w:r>
    </w:p>
    <w:p w14:paraId="2E1289BF" w14:textId="1B655181" w:rsidR="0007365C" w:rsidRDefault="0007365C" w:rsidP="0007365C">
      <w:pPr>
        <w:pStyle w:val="Caption"/>
        <w:spacing w:after="0"/>
        <w:ind w:firstLine="0"/>
        <w:rPr>
          <w:rFonts w:ascii="Times New Roman" w:hAnsi="Times New Roman"/>
          <w:color w:val="000000" w:themeColor="text1"/>
        </w:rPr>
      </w:pPr>
      <w:bookmarkStart w:id="24" w:name="_Ref86597060"/>
      <w:r w:rsidRPr="00892425">
        <w:rPr>
          <w:rFonts w:ascii="Times New Roman" w:hAnsi="Times New Roman"/>
          <w:color w:val="000000" w:themeColor="text1"/>
          <w:sz w:val="24"/>
          <w:szCs w:val="24"/>
        </w:rPr>
        <w:t xml:space="preserve">Figure </w:t>
      </w:r>
      <w:r>
        <w:rPr>
          <w:rFonts w:ascii="Times New Roman" w:hAnsi="Times New Roman"/>
          <w:color w:val="000000" w:themeColor="text1"/>
          <w:sz w:val="24"/>
          <w:szCs w:val="24"/>
        </w:rPr>
        <w:t>S</w:t>
      </w:r>
      <w:r w:rsidRPr="00892425">
        <w:rPr>
          <w:rFonts w:ascii="Times New Roman" w:hAnsi="Times New Roman"/>
          <w:color w:val="000000" w:themeColor="text1"/>
          <w:sz w:val="24"/>
          <w:szCs w:val="24"/>
        </w:rPr>
        <w:fldChar w:fldCharType="begin"/>
      </w:r>
      <w:r w:rsidRPr="00892425">
        <w:rPr>
          <w:rFonts w:ascii="Times New Roman" w:hAnsi="Times New Roman"/>
          <w:color w:val="000000" w:themeColor="text1"/>
          <w:sz w:val="24"/>
          <w:szCs w:val="24"/>
        </w:rPr>
        <w:instrText xml:space="preserve"> SEQ Figure \* ARABIC </w:instrText>
      </w:r>
      <w:r w:rsidRPr="00892425">
        <w:rPr>
          <w:rFonts w:ascii="Times New Roman" w:hAnsi="Times New Roman"/>
          <w:color w:val="000000" w:themeColor="text1"/>
          <w:sz w:val="24"/>
          <w:szCs w:val="24"/>
        </w:rPr>
        <w:fldChar w:fldCharType="separate"/>
      </w:r>
      <w:r w:rsidR="009E5695">
        <w:rPr>
          <w:rFonts w:ascii="Times New Roman" w:hAnsi="Times New Roman"/>
          <w:noProof/>
          <w:color w:val="000000" w:themeColor="text1"/>
          <w:sz w:val="24"/>
          <w:szCs w:val="24"/>
        </w:rPr>
        <w:t>11</w:t>
      </w:r>
      <w:r w:rsidRPr="00892425">
        <w:rPr>
          <w:rFonts w:ascii="Times New Roman" w:hAnsi="Times New Roman"/>
          <w:color w:val="000000" w:themeColor="text1"/>
          <w:sz w:val="24"/>
          <w:szCs w:val="24"/>
        </w:rPr>
        <w:fldChar w:fldCharType="end"/>
      </w:r>
      <w:bookmarkEnd w:id="24"/>
      <w:r w:rsidRPr="00892425">
        <w:rPr>
          <w:rFonts w:ascii="Times New Roman" w:hAnsi="Times New Roman"/>
          <w:i w:val="0"/>
          <w:iCs w:val="0"/>
          <w:color w:val="000000" w:themeColor="text1"/>
          <w:sz w:val="24"/>
          <w:szCs w:val="24"/>
        </w:rPr>
        <w:t xml:space="preserve"> Calculated values of </w:t>
      </w:r>
      <w:r w:rsidRPr="00892425">
        <w:rPr>
          <w:rFonts w:ascii="Times New Roman" w:hAnsi="Times New Roman"/>
          <w:color w:val="000000" w:themeColor="text1"/>
          <w:sz w:val="24"/>
          <w:szCs w:val="24"/>
        </w:rPr>
        <w:t>p</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 xml:space="preserve">’s (top row), species fraction in the melt (middle row), and </w:t>
      </w:r>
      <w:proofErr w:type="spellStart"/>
      <w:r w:rsidRPr="00892425">
        <w:rPr>
          <w:rFonts w:ascii="Times New Roman" w:hAnsi="Times New Roman"/>
          <w:color w:val="000000" w:themeColor="text1"/>
          <w:sz w:val="24"/>
          <w:szCs w:val="24"/>
        </w:rPr>
        <w:t>x</w:t>
      </w:r>
      <w:r w:rsidRPr="00892425">
        <w:rPr>
          <w:rFonts w:ascii="Times New Roman" w:hAnsi="Times New Roman"/>
          <w:color w:val="000000" w:themeColor="text1"/>
          <w:sz w:val="24"/>
          <w:szCs w:val="24"/>
          <w:vertAlign w:val="superscript"/>
        </w:rPr>
        <w:t>v</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’s</w:t>
      </w:r>
      <w:proofErr w:type="spellEnd"/>
      <w:r w:rsidRPr="00892425">
        <w:rPr>
          <w:rFonts w:ascii="Times New Roman" w:hAnsi="Times New Roman"/>
          <w:i w:val="0"/>
          <w:iCs w:val="0"/>
          <w:color w:val="000000" w:themeColor="text1"/>
          <w:sz w:val="24"/>
          <w:szCs w:val="24"/>
        </w:rPr>
        <w:t xml:space="preserve"> (bottom row) vs. log</w:t>
      </w:r>
      <w:r w:rsidRPr="00892425">
        <w:rPr>
          <w:rFonts w:ascii="Times New Roman" w:hAnsi="Times New Roman"/>
          <w:i w:val="0"/>
          <w:iCs w:val="0"/>
          <w:color w:val="000000" w:themeColor="text1"/>
          <w:sz w:val="24"/>
          <w:szCs w:val="24"/>
          <w:vertAlign w:val="subscript"/>
        </w:rPr>
        <w:t>10</w:t>
      </w:r>
      <w:r w:rsidRPr="00892425">
        <w:rPr>
          <w:rFonts w:ascii="Times New Roman" w:hAnsi="Times New Roman"/>
          <w:i w:val="0"/>
          <w:iCs w:val="0"/>
          <w:color w:val="000000" w:themeColor="text1"/>
          <w:sz w:val="24"/>
          <w:szCs w:val="24"/>
        </w:rPr>
        <w:t>(</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for cases 1</w:t>
      </w:r>
      <w:r>
        <w:rPr>
          <w:rFonts w:ascii="Times New Roman" w:hAnsi="Times New Roman"/>
          <w:i w:val="0"/>
          <w:iCs w:val="0"/>
          <w:color w:val="000000" w:themeColor="text1"/>
          <w:sz w:val="24"/>
          <w:szCs w:val="24"/>
        </w:rPr>
        <w:t xml:space="preserve"> (</w:t>
      </w:r>
      <w:r w:rsidR="009E3CD9">
        <w:rPr>
          <w:rFonts w:ascii="Times New Roman" w:hAnsi="Times New Roman"/>
          <w:i w:val="0"/>
          <w:iCs w:val="0"/>
          <w:color w:val="000000" w:themeColor="text1"/>
          <w:sz w:val="24"/>
          <w:szCs w:val="24"/>
        </w:rPr>
        <w:t xml:space="preserve">only </w:t>
      </w:r>
      <w:r>
        <w:rPr>
          <w:rFonts w:ascii="Times New Roman" w:hAnsi="Times New Roman"/>
          <w:i w:val="0"/>
          <w:iCs w:val="0"/>
          <w:color w:val="000000" w:themeColor="text1"/>
          <w:sz w:val="24"/>
          <w:szCs w:val="24"/>
        </w:rPr>
        <w:t>oxidised C-O-H), 2 (</w:t>
      </w:r>
      <w:r w:rsidR="009E3CD9">
        <w:rPr>
          <w:rFonts w:ascii="Times New Roman" w:hAnsi="Times New Roman"/>
          <w:i w:val="0"/>
          <w:iCs w:val="0"/>
          <w:color w:val="000000" w:themeColor="text1"/>
          <w:sz w:val="24"/>
          <w:szCs w:val="24"/>
        </w:rPr>
        <w:t>oxidised and reduced</w:t>
      </w:r>
      <w:r>
        <w:rPr>
          <w:rFonts w:ascii="Times New Roman" w:hAnsi="Times New Roman"/>
          <w:i w:val="0"/>
          <w:iCs w:val="0"/>
          <w:color w:val="000000" w:themeColor="text1"/>
          <w:sz w:val="24"/>
          <w:szCs w:val="24"/>
        </w:rPr>
        <w:t xml:space="preserve"> C-O-H), and 2’ (reduced C-O-H</w:t>
      </w:r>
      <w:r w:rsidR="009E3CD9">
        <w:rPr>
          <w:rFonts w:ascii="Times New Roman" w:hAnsi="Times New Roman"/>
          <w:i w:val="0"/>
          <w:iCs w:val="0"/>
          <w:color w:val="000000" w:themeColor="text1"/>
          <w:sz w:val="24"/>
          <w:szCs w:val="24"/>
        </w:rPr>
        <w:t xml:space="preserve"> insoluble</w:t>
      </w:r>
      <w:r>
        <w:rPr>
          <w:rFonts w:ascii="Times New Roman" w:hAnsi="Times New Roman"/>
          <w:i w:val="0"/>
          <w:iCs w:val="0"/>
          <w:color w:val="000000" w:themeColor="text1"/>
          <w:sz w:val="24"/>
          <w:szCs w:val="24"/>
        </w:rPr>
        <w:t>)</w:t>
      </w:r>
      <w:r w:rsidRPr="00892425">
        <w:rPr>
          <w:rFonts w:ascii="Times New Roman" w:hAnsi="Times New Roman"/>
          <w:i w:val="0"/>
          <w:iCs w:val="0"/>
          <w:color w:val="000000" w:themeColor="text1"/>
          <w:sz w:val="24"/>
          <w:szCs w:val="24"/>
        </w:rPr>
        <w:t xml:space="preserve">. All calculations are for </w:t>
      </w:r>
      <w:r>
        <w:rPr>
          <w:rFonts w:ascii="Times New Roman" w:hAnsi="Times New Roman"/>
          <w:i w:val="0"/>
          <w:iCs w:val="0"/>
          <w:color w:val="000000" w:themeColor="text1"/>
          <w:sz w:val="24"/>
          <w:szCs w:val="24"/>
        </w:rPr>
        <w:t xml:space="preserve">a Hawaiian tholeiitic </w:t>
      </w:r>
      <w:r w:rsidRPr="00892425">
        <w:rPr>
          <w:rFonts w:ascii="Times New Roman" w:hAnsi="Times New Roman"/>
          <w:i w:val="0"/>
          <w:iCs w:val="0"/>
          <w:color w:val="000000" w:themeColor="text1"/>
          <w:sz w:val="24"/>
          <w:szCs w:val="24"/>
        </w:rPr>
        <w:t>melt</w:t>
      </w:r>
      <w:r>
        <w:rPr>
          <w:rFonts w:ascii="Times New Roman" w:hAnsi="Times New Roman"/>
          <w:i w:val="0"/>
          <w:iCs w:val="0"/>
          <w:color w:val="000000" w:themeColor="text1"/>
          <w:sz w:val="24"/>
          <w:szCs w:val="24"/>
        </w:rPr>
        <w:t xml:space="preserve"> at 1200 </w:t>
      </w:r>
      <w:r w:rsidRPr="00723CE1">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 xml:space="preserve"> with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O-eq = 3 </w:t>
      </w:r>
      <w:proofErr w:type="spellStart"/>
      <w:r w:rsidRPr="00892425">
        <w:rPr>
          <w:rFonts w:ascii="Times New Roman" w:hAnsi="Times New Roman"/>
          <w:i w:val="0"/>
          <w:iCs w:val="0"/>
          <w:color w:val="000000" w:themeColor="text1"/>
          <w:sz w:val="24"/>
          <w:szCs w:val="24"/>
        </w:rPr>
        <w:t>wt</w:t>
      </w:r>
      <w:proofErr w:type="spellEnd"/>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 xml:space="preserve">and </w:t>
      </w:r>
      <w:r w:rsidRPr="00892425">
        <w:rPr>
          <w:rFonts w:ascii="Times New Roman" w:hAnsi="Times New Roman"/>
          <w:i w:val="0"/>
          <w:iCs w:val="0"/>
          <w:color w:val="000000" w:themeColor="text1"/>
          <w:sz w:val="24"/>
          <w:szCs w:val="24"/>
        </w:rPr>
        <w:t>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-eq = 1000 ppm. The red curves are for H-bearing species (including CH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 xml:space="preserve">and </w:t>
      </w:r>
      <w:r w:rsidRPr="00892425">
        <w:rPr>
          <w:rFonts w:ascii="Times New Roman" w:hAnsi="Times New Roman"/>
          <w:i w:val="0"/>
          <w:iCs w:val="0"/>
          <w:color w:val="000000" w:themeColor="text1"/>
          <w:sz w:val="24"/>
          <w:szCs w:val="24"/>
        </w:rPr>
        <w:t>blue curves for C-bearing species (</w:t>
      </w:r>
      <w:r>
        <w:rPr>
          <w:rFonts w:ascii="Times New Roman" w:hAnsi="Times New Roman"/>
          <w:i w:val="0"/>
          <w:iCs w:val="0"/>
          <w:color w:val="000000" w:themeColor="text1"/>
          <w:sz w:val="24"/>
          <w:szCs w:val="24"/>
        </w:rPr>
        <w:t>ex</w:t>
      </w:r>
      <w:r w:rsidRPr="00892425">
        <w:rPr>
          <w:rFonts w:ascii="Times New Roman" w:hAnsi="Times New Roman"/>
          <w:i w:val="0"/>
          <w:iCs w:val="0"/>
          <w:color w:val="000000" w:themeColor="text1"/>
          <w:sz w:val="24"/>
          <w:szCs w:val="24"/>
        </w:rPr>
        <w:t>cluding CH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Results for case 1 (indicated by a superscript circle, °) are shown for reference in (</w:t>
      </w:r>
      <w:r w:rsidRPr="00892425">
        <w:rPr>
          <w:rFonts w:ascii="Times New Roman" w:hAnsi="Times New Roman"/>
          <w:b/>
          <w:bCs/>
          <w:i w:val="0"/>
          <w:iCs w:val="0"/>
          <w:color w:val="000000" w:themeColor="text1"/>
          <w:sz w:val="24"/>
          <w:szCs w:val="24"/>
        </w:rPr>
        <w:t>a</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b</w:t>
      </w:r>
      <w:r w:rsidRPr="00892425">
        <w:rPr>
          <w:rFonts w:ascii="Times New Roman" w:hAnsi="Times New Roman"/>
          <w:i w:val="0"/>
          <w:iCs w:val="0"/>
          <w:color w:val="000000" w:themeColor="text1"/>
          <w:sz w:val="24"/>
          <w:szCs w:val="24"/>
        </w:rPr>
        <w:t>) and (</w:t>
      </w:r>
      <w:r>
        <w:rPr>
          <w:rFonts w:ascii="Times New Roman" w:hAnsi="Times New Roman"/>
          <w:b/>
          <w:bCs/>
          <w:i w:val="0"/>
          <w:iCs w:val="0"/>
          <w:color w:val="000000" w:themeColor="text1"/>
          <w:sz w:val="24"/>
          <w:szCs w:val="24"/>
        </w:rPr>
        <w:t>e</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f</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H</w:t>
      </w:r>
      <w:r w:rsidRPr="00D968B6">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rPr>
        <w:t xml:space="preserve"> is a dashed horizontal black line and </w:t>
      </w:r>
      <w:r>
        <w:rPr>
          <w:rFonts w:ascii="Times New Roman" w:hAnsi="Times New Roman"/>
          <w:i w:val="0"/>
          <w:iCs w:val="0"/>
          <w:color w:val="000000" w:themeColor="text1"/>
          <w:sz w:val="24"/>
          <w:szCs w:val="24"/>
        </w:rPr>
        <w:t>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is a dotted horizontal black line. For melt speciation in (</w:t>
      </w:r>
      <w:r>
        <w:rPr>
          <w:rFonts w:ascii="Times New Roman" w:hAnsi="Times New Roman"/>
          <w:b/>
          <w:bCs/>
          <w:i w:val="0"/>
          <w:iCs w:val="0"/>
          <w:color w:val="000000" w:themeColor="text1"/>
          <w:sz w:val="24"/>
          <w:szCs w:val="24"/>
        </w:rPr>
        <w:t>c</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d</w:t>
      </w:r>
      <w:r w:rsidRPr="00892425">
        <w:rPr>
          <w:rFonts w:ascii="Times New Roman" w:hAnsi="Times New Roman"/>
          <w:i w:val="0"/>
          <w:iCs w:val="0"/>
          <w:color w:val="000000" w:themeColor="text1"/>
          <w:sz w:val="24"/>
          <w:szCs w:val="24"/>
        </w:rPr>
        <w:t>), the blue curves show the fractions of C in different C-bearing species as a fraction total C in the melt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 solid,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 xml:space="preserve">O = dash,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 dot), </w:t>
      </w:r>
      <w:r w:rsidR="00EF2B89">
        <w:rPr>
          <w:rFonts w:ascii="Times New Roman" w:hAnsi="Times New Roman"/>
          <w:i w:val="0"/>
          <w:iCs w:val="0"/>
          <w:color w:val="000000" w:themeColor="text1"/>
          <w:sz w:val="24"/>
          <w:szCs w:val="24"/>
        </w:rPr>
        <w:t>which</w:t>
      </w:r>
      <w:r w:rsidRPr="00892425">
        <w:rPr>
          <w:rFonts w:ascii="Times New Roman" w:hAnsi="Times New Roman"/>
          <w:i w:val="0"/>
          <w:iCs w:val="0"/>
          <w:color w:val="000000" w:themeColor="text1"/>
          <w:sz w:val="24"/>
          <w:szCs w:val="24"/>
        </w:rPr>
        <w:t xml:space="preserve"> fractions sum to one. The red curves show the fractions of H in different H-bearing species as a fraction total H in the melt (</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T</w:t>
      </w:r>
      <w:r w:rsidRPr="00892425">
        <w:rPr>
          <w:rFonts w:ascii="Times New Roman" w:hAnsi="Times New Roman"/>
          <w:i w:val="0"/>
          <w:iCs w:val="0"/>
          <w:color w:val="000000" w:themeColor="text1"/>
          <w:sz w:val="24"/>
          <w:szCs w:val="24"/>
        </w:rPr>
        <w:t xml:space="preserve"> = solid, </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 dash, C</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 dot), which also sum to one. For the vapor speciation in (</w:t>
      </w:r>
      <w:r>
        <w:rPr>
          <w:rFonts w:ascii="Times New Roman" w:hAnsi="Times New Roman"/>
          <w:b/>
          <w:bCs/>
          <w:i w:val="0"/>
          <w:iCs w:val="0"/>
          <w:color w:val="000000" w:themeColor="text1"/>
          <w:sz w:val="24"/>
          <w:szCs w:val="24"/>
        </w:rPr>
        <w:t>e</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f</w:t>
      </w:r>
      <w:r w:rsidRPr="00892425">
        <w:rPr>
          <w:rFonts w:ascii="Times New Roman" w:hAnsi="Times New Roman"/>
          <w:i w:val="0"/>
          <w:iCs w:val="0"/>
          <w:color w:val="000000" w:themeColor="text1"/>
          <w:sz w:val="24"/>
          <w:szCs w:val="24"/>
        </w:rPr>
        <w:t xml:space="preserve">), the sum of all coloured curves is one at any given </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xml:space="preserve">, and for the horizontal black lines representing case 1. </w:t>
      </w:r>
      <w:r>
        <w:rPr>
          <w:rFonts w:ascii="Times New Roman" w:hAnsi="Times New Roman"/>
          <w:i w:val="0"/>
          <w:iCs w:val="0"/>
          <w:color w:val="000000" w:themeColor="text1"/>
          <w:sz w:val="24"/>
          <w:szCs w:val="24"/>
        </w:rPr>
        <w:t xml:space="preserve">For these conditions, there is no saturation with graphite, </w:t>
      </w:r>
      <w:proofErr w:type="spellStart"/>
      <w:r>
        <w:rPr>
          <w:rFonts w:ascii="Times New Roman" w:hAnsi="Times New Roman"/>
          <w:i w:val="0"/>
          <w:iCs w:val="0"/>
          <w:color w:val="000000" w:themeColor="text1"/>
          <w:sz w:val="24"/>
          <w:szCs w:val="24"/>
        </w:rPr>
        <w:t>sulfide</w:t>
      </w:r>
      <w:proofErr w:type="spellEnd"/>
      <w:r>
        <w:rPr>
          <w:rFonts w:ascii="Times New Roman" w:hAnsi="Times New Roman"/>
          <w:i w:val="0"/>
          <w:iCs w:val="0"/>
          <w:color w:val="000000" w:themeColor="text1"/>
          <w:sz w:val="24"/>
          <w:szCs w:val="24"/>
        </w:rPr>
        <w:t>, or anhydrite.</w:t>
      </w:r>
    </w:p>
    <w:p w14:paraId="34CF2A9F" w14:textId="29F643D6" w:rsidR="00C746E2" w:rsidRDefault="00C746E2" w:rsidP="00C746E2">
      <w:pPr>
        <w:keepNext/>
        <w:rPr>
          <w:rFonts w:ascii="Times New Roman" w:hAnsi="Times New Roman"/>
        </w:rPr>
      </w:pPr>
      <w:r w:rsidRPr="007A64EF">
        <w:rPr>
          <w:rFonts w:ascii="Times New Roman" w:hAnsi="Times New Roman"/>
          <w:noProof/>
          <w:lang w:val="en-US"/>
        </w:rPr>
        <w:lastRenderedPageBreak/>
        <w:drawing>
          <wp:inline distT="0" distB="0" distL="0" distR="0" wp14:anchorId="27FCB68D" wp14:editId="1E7E878A">
            <wp:extent cx="5730730" cy="1643784"/>
            <wp:effectExtent l="0" t="0" r="0" b="0"/>
            <wp:docPr id="15" name="Picture 15" descr="Diagram, hist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 histogram&#10;&#10;Description automatically generated with medium confidence"/>
                    <pic:cNvPicPr/>
                  </pic:nvPicPr>
                  <pic:blipFill rotWithShape="1">
                    <a:blip r:embed="rId20"/>
                    <a:srcRect t="20954" b="7328"/>
                    <a:stretch/>
                  </pic:blipFill>
                  <pic:spPr bwMode="auto">
                    <a:xfrm>
                      <a:off x="0" y="0"/>
                      <a:ext cx="5731510" cy="1644008"/>
                    </a:xfrm>
                    <a:prstGeom prst="rect">
                      <a:avLst/>
                    </a:prstGeom>
                    <a:ln>
                      <a:noFill/>
                    </a:ln>
                    <a:extLst>
                      <a:ext uri="{53640926-AAD7-44D8-BBD7-CCE9431645EC}">
                        <a14:shadowObscured xmlns:a14="http://schemas.microsoft.com/office/drawing/2010/main"/>
                      </a:ext>
                    </a:extLst>
                  </pic:spPr>
                </pic:pic>
              </a:graphicData>
            </a:graphic>
          </wp:inline>
        </w:drawing>
      </w:r>
    </w:p>
    <w:p w14:paraId="0AA2F0CE" w14:textId="54BC3E23" w:rsidR="00C746E2" w:rsidRPr="00892425" w:rsidRDefault="00C746E2" w:rsidP="00C746E2">
      <w:pPr>
        <w:pStyle w:val="Caption"/>
        <w:spacing w:after="0"/>
        <w:ind w:firstLine="0"/>
        <w:rPr>
          <w:rFonts w:ascii="Times New Roman" w:hAnsi="Times New Roman"/>
          <w:i w:val="0"/>
          <w:iCs w:val="0"/>
          <w:color w:val="000000" w:themeColor="text1"/>
          <w:sz w:val="24"/>
          <w:szCs w:val="24"/>
        </w:rPr>
      </w:pPr>
      <w:bookmarkStart w:id="25" w:name="_Ref86603098"/>
      <w:r w:rsidRPr="00892425">
        <w:rPr>
          <w:rFonts w:ascii="Times New Roman" w:hAnsi="Times New Roman"/>
          <w:color w:val="000000" w:themeColor="text1"/>
          <w:sz w:val="24"/>
          <w:szCs w:val="24"/>
        </w:rPr>
        <w:t xml:space="preserve">Figure </w:t>
      </w:r>
      <w:r>
        <w:rPr>
          <w:rFonts w:ascii="Times New Roman" w:hAnsi="Times New Roman"/>
          <w:color w:val="000000" w:themeColor="text1"/>
          <w:sz w:val="24"/>
          <w:szCs w:val="24"/>
        </w:rPr>
        <w:t>S</w:t>
      </w:r>
      <w:r w:rsidRPr="00892425">
        <w:rPr>
          <w:rFonts w:ascii="Times New Roman" w:hAnsi="Times New Roman"/>
          <w:color w:val="000000" w:themeColor="text1"/>
          <w:sz w:val="24"/>
          <w:szCs w:val="24"/>
        </w:rPr>
        <w:fldChar w:fldCharType="begin"/>
      </w:r>
      <w:r w:rsidRPr="00892425">
        <w:rPr>
          <w:rFonts w:ascii="Times New Roman" w:hAnsi="Times New Roman"/>
          <w:color w:val="000000" w:themeColor="text1"/>
          <w:sz w:val="24"/>
          <w:szCs w:val="24"/>
        </w:rPr>
        <w:instrText xml:space="preserve"> SEQ Figure \* ARABIC </w:instrText>
      </w:r>
      <w:r w:rsidRPr="00892425">
        <w:rPr>
          <w:rFonts w:ascii="Times New Roman" w:hAnsi="Times New Roman"/>
          <w:color w:val="000000" w:themeColor="text1"/>
          <w:sz w:val="24"/>
          <w:szCs w:val="24"/>
        </w:rPr>
        <w:fldChar w:fldCharType="separate"/>
      </w:r>
      <w:r w:rsidR="009E5695">
        <w:rPr>
          <w:rFonts w:ascii="Times New Roman" w:hAnsi="Times New Roman"/>
          <w:noProof/>
          <w:color w:val="000000" w:themeColor="text1"/>
          <w:sz w:val="24"/>
          <w:szCs w:val="24"/>
        </w:rPr>
        <w:t>12</w:t>
      </w:r>
      <w:r w:rsidRPr="00892425">
        <w:rPr>
          <w:rFonts w:ascii="Times New Roman" w:hAnsi="Times New Roman"/>
          <w:color w:val="000000" w:themeColor="text1"/>
          <w:sz w:val="24"/>
          <w:szCs w:val="24"/>
        </w:rPr>
        <w:fldChar w:fldCharType="end"/>
      </w:r>
      <w:bookmarkEnd w:id="25"/>
      <w:r w:rsidRPr="00892425">
        <w:rPr>
          <w:rFonts w:ascii="Times New Roman" w:hAnsi="Times New Roman"/>
          <w:i w:val="0"/>
          <w:iCs w:val="0"/>
          <w:color w:val="000000" w:themeColor="text1"/>
          <w:sz w:val="24"/>
          <w:szCs w:val="24"/>
        </w:rPr>
        <w:t xml:space="preserve"> Variations with log</w:t>
      </w:r>
      <w:r w:rsidRPr="00892425">
        <w:rPr>
          <w:rFonts w:ascii="Times New Roman" w:hAnsi="Times New Roman"/>
          <w:i w:val="0"/>
          <w:iCs w:val="0"/>
          <w:color w:val="000000" w:themeColor="text1"/>
          <w:sz w:val="24"/>
          <w:szCs w:val="24"/>
          <w:vertAlign w:val="subscript"/>
        </w:rPr>
        <w:t>10</w:t>
      </w:r>
      <w:r w:rsidRPr="00892425">
        <w:rPr>
          <w:rFonts w:ascii="Times New Roman" w:hAnsi="Times New Roman"/>
          <w:i w:val="0"/>
          <w:iCs w:val="0"/>
          <w:color w:val="000000" w:themeColor="text1"/>
          <w:sz w:val="24"/>
          <w:szCs w:val="24"/>
        </w:rPr>
        <w:t>(</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for a melt with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O-eq = 3 </w:t>
      </w:r>
      <w:proofErr w:type="spellStart"/>
      <w:r w:rsidRPr="00892425">
        <w:rPr>
          <w:rFonts w:ascii="Times New Roman" w:hAnsi="Times New Roman"/>
          <w:i w:val="0"/>
          <w:iCs w:val="0"/>
          <w:color w:val="000000" w:themeColor="text1"/>
          <w:sz w:val="24"/>
          <w:szCs w:val="24"/>
        </w:rPr>
        <w:t>wt</w:t>
      </w:r>
      <w:proofErr w:type="spellEnd"/>
      <w:r w:rsidRPr="00892425">
        <w:rPr>
          <w:rFonts w:ascii="Times New Roman" w:hAnsi="Times New Roman"/>
          <w:i w:val="0"/>
          <w:iCs w:val="0"/>
          <w:color w:val="000000" w:themeColor="text1"/>
          <w:sz w:val="24"/>
          <w:szCs w:val="24"/>
        </w:rPr>
        <w:t>%, 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-eq</w:t>
      </w:r>
      <w:r w:rsidRPr="00892425" w:rsidDel="00BE1F05">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 1000 ppm and S-</w:t>
      </w:r>
      <w:proofErr w:type="spellStart"/>
      <w:r w:rsidRPr="00892425">
        <w:rPr>
          <w:rFonts w:ascii="Times New Roman" w:hAnsi="Times New Roman"/>
          <w:i w:val="0"/>
          <w:iCs w:val="0"/>
          <w:color w:val="000000" w:themeColor="text1"/>
          <w:sz w:val="24"/>
          <w:szCs w:val="24"/>
        </w:rPr>
        <w:t>eq</w:t>
      </w:r>
      <w:proofErr w:type="spellEnd"/>
      <w:r w:rsidRPr="00892425">
        <w:rPr>
          <w:rFonts w:ascii="Times New Roman" w:hAnsi="Times New Roman"/>
          <w:i w:val="0"/>
          <w:iCs w:val="0"/>
          <w:color w:val="000000" w:themeColor="text1"/>
          <w:sz w:val="24"/>
          <w:szCs w:val="24"/>
        </w:rPr>
        <w:t xml:space="preserve"> = 0 ppm of the sum of the </w:t>
      </w:r>
      <w:r w:rsidRPr="00892425">
        <w:rPr>
          <w:rFonts w:ascii="Times New Roman" w:hAnsi="Times New Roman"/>
          <w:color w:val="000000" w:themeColor="text1"/>
          <w:sz w:val="24"/>
          <w:szCs w:val="24"/>
        </w:rPr>
        <w:t>p</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 xml:space="preserve">’s of </w:t>
      </w:r>
      <w:r w:rsidR="009E3CD9">
        <w:rPr>
          <w:rFonts w:ascii="Times New Roman" w:hAnsi="Times New Roman"/>
          <w:i w:val="0"/>
          <w:iCs w:val="0"/>
          <w:color w:val="000000" w:themeColor="text1"/>
          <w:sz w:val="24"/>
          <w:szCs w:val="24"/>
        </w:rPr>
        <w:t xml:space="preserve">the </w:t>
      </w:r>
      <w:r w:rsidRPr="00892425">
        <w:rPr>
          <w:rFonts w:ascii="Times New Roman" w:hAnsi="Times New Roman"/>
          <w:i w:val="0"/>
          <w:iCs w:val="0"/>
          <w:color w:val="000000" w:themeColor="text1"/>
          <w:sz w:val="24"/>
          <w:szCs w:val="24"/>
        </w:rPr>
        <w:t xml:space="preserve">various C-O-H vapor species: </w:t>
      </w:r>
      <w:r w:rsidRPr="00892425">
        <w:rPr>
          <w:rFonts w:ascii="Times New Roman" w:hAnsi="Times New Roman"/>
          <w:b/>
          <w:bCs/>
          <w:i w:val="0"/>
          <w:iCs w:val="0"/>
          <w:color w:val="000000" w:themeColor="text1"/>
          <w:sz w:val="24"/>
          <w:szCs w:val="24"/>
        </w:rPr>
        <w:t xml:space="preserve">(a) </w:t>
      </w:r>
      <w:r w:rsidRPr="00892425">
        <w:rPr>
          <w:rFonts w:ascii="Times New Roman" w:hAnsi="Times New Roman"/>
          <w:i w:val="0"/>
          <w:iCs w:val="0"/>
          <w:color w:val="000000" w:themeColor="text1"/>
          <w:sz w:val="24"/>
          <w:szCs w:val="24"/>
        </w:rPr>
        <w:t>oxidised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O and 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 xml:space="preserve">and </w:t>
      </w:r>
      <w:r w:rsidRPr="00892425">
        <w:rPr>
          <w:rFonts w:ascii="Times New Roman" w:hAnsi="Times New Roman"/>
          <w:i w:val="0"/>
          <w:iCs w:val="0"/>
          <w:color w:val="000000" w:themeColor="text1"/>
          <w:sz w:val="24"/>
          <w:szCs w:val="24"/>
        </w:rPr>
        <w:t>(</w:t>
      </w:r>
      <w:r w:rsidRPr="00892425">
        <w:rPr>
          <w:rFonts w:ascii="Times New Roman" w:hAnsi="Times New Roman"/>
          <w:b/>
          <w:bCs/>
          <w:i w:val="0"/>
          <w:iCs w:val="0"/>
          <w:color w:val="000000" w:themeColor="text1"/>
          <w:sz w:val="24"/>
          <w:szCs w:val="24"/>
        </w:rPr>
        <w:t>b</w:t>
      </w:r>
      <w:r w:rsidRPr="00892425">
        <w:rPr>
          <w:rFonts w:ascii="Times New Roman" w:hAnsi="Times New Roman"/>
          <w:i w:val="0"/>
          <w:iCs w:val="0"/>
          <w:color w:val="000000" w:themeColor="text1"/>
          <w:sz w:val="24"/>
          <w:szCs w:val="24"/>
        </w:rPr>
        <w:t>) reduced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CO, and CH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Case 1 = black</w:t>
      </w:r>
      <w:r>
        <w:rPr>
          <w:rFonts w:ascii="Times New Roman" w:hAnsi="Times New Roman"/>
          <w:i w:val="0"/>
          <w:iCs w:val="0"/>
          <w:color w:val="000000" w:themeColor="text1"/>
          <w:sz w:val="24"/>
          <w:szCs w:val="24"/>
        </w:rPr>
        <w:t>-solid</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2</w:t>
      </w:r>
      <w:r w:rsidRPr="00892425">
        <w:rPr>
          <w:rFonts w:ascii="Times New Roman" w:hAnsi="Times New Roman"/>
          <w:i w:val="0"/>
          <w:iCs w:val="0"/>
          <w:color w:val="000000" w:themeColor="text1"/>
          <w:sz w:val="24"/>
          <w:szCs w:val="24"/>
        </w:rPr>
        <w:t xml:space="preserve"> = </w:t>
      </w:r>
      <w:r>
        <w:rPr>
          <w:rFonts w:ascii="Times New Roman" w:hAnsi="Times New Roman"/>
          <w:i w:val="0"/>
          <w:iCs w:val="0"/>
          <w:color w:val="000000" w:themeColor="text1"/>
          <w:sz w:val="24"/>
          <w:szCs w:val="24"/>
        </w:rPr>
        <w:t>blue-solid</w:t>
      </w:r>
      <w:r w:rsidRPr="00892425">
        <w:rPr>
          <w:rFonts w:ascii="Times New Roman" w:hAnsi="Times New Roman"/>
          <w:i w:val="0"/>
          <w:iCs w:val="0"/>
          <w:color w:val="000000" w:themeColor="text1"/>
          <w:sz w:val="24"/>
          <w:szCs w:val="24"/>
        </w:rPr>
        <w:t>,</w:t>
      </w:r>
      <w:r>
        <w:rPr>
          <w:rFonts w:ascii="Times New Roman" w:hAnsi="Times New Roman"/>
          <w:i w:val="0"/>
          <w:iCs w:val="0"/>
          <w:color w:val="000000" w:themeColor="text1"/>
          <w:sz w:val="24"/>
          <w:szCs w:val="24"/>
        </w:rPr>
        <w:t xml:space="preserve"> and</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2’</w:t>
      </w:r>
      <w:r w:rsidRPr="00892425">
        <w:rPr>
          <w:rFonts w:ascii="Times New Roman" w:hAnsi="Times New Roman"/>
          <w:i w:val="0"/>
          <w:iCs w:val="0"/>
          <w:color w:val="000000" w:themeColor="text1"/>
          <w:sz w:val="24"/>
          <w:szCs w:val="24"/>
        </w:rPr>
        <w:t xml:space="preserve"> = </w:t>
      </w:r>
      <w:r>
        <w:rPr>
          <w:rFonts w:ascii="Times New Roman" w:hAnsi="Times New Roman"/>
          <w:i w:val="0"/>
          <w:iCs w:val="0"/>
          <w:color w:val="000000" w:themeColor="text1"/>
          <w:sz w:val="24"/>
          <w:szCs w:val="24"/>
        </w:rPr>
        <w:t>red-dash</w:t>
      </w:r>
      <w:r w:rsidRPr="007A6833">
        <w:rPr>
          <w:rFonts w:ascii="Times New Roman" w:hAnsi="Times New Roman"/>
          <w:i w:val="0"/>
          <w:iCs w:val="0"/>
          <w:color w:val="000000" w:themeColor="text1"/>
          <w:sz w:val="24"/>
          <w:szCs w:val="24"/>
        </w:rPr>
        <w:t>.</w:t>
      </w:r>
    </w:p>
    <w:p w14:paraId="69F69C18" w14:textId="77777777" w:rsidR="00C746E2" w:rsidRDefault="00C746E2" w:rsidP="00C746E2">
      <w:pPr>
        <w:jc w:val="both"/>
        <w:rPr>
          <w:rFonts w:ascii="Times New Roman" w:hAnsi="Times New Roman"/>
        </w:rPr>
      </w:pPr>
    </w:p>
    <w:p w14:paraId="56AF0749" w14:textId="308438F6" w:rsidR="00F54859" w:rsidRDefault="00C746E2" w:rsidP="007A64EF">
      <w:pPr>
        <w:jc w:val="both"/>
        <w:rPr>
          <w:rFonts w:ascii="Times New Roman" w:hAnsi="Times New Roman"/>
        </w:rPr>
      </w:pPr>
      <w:r>
        <w:rPr>
          <w:rFonts w:ascii="Times New Roman" w:hAnsi="Times New Roman"/>
          <w:color w:val="000000" w:themeColor="text1"/>
        </w:rPr>
        <w:tab/>
      </w:r>
      <w:r w:rsidR="00F54859" w:rsidRPr="00E05E9B">
        <w:rPr>
          <w:rFonts w:ascii="Times New Roman" w:hAnsi="Times New Roman"/>
          <w:color w:val="000000" w:themeColor="text1"/>
        </w:rPr>
        <w:fldChar w:fldCharType="begin" w:fldLock="1"/>
      </w:r>
      <w:r w:rsidR="0042431E">
        <w:rPr>
          <w:rFonts w:ascii="Times New Roman" w:hAnsi="Times New Roman"/>
          <w:color w:val="000000" w:themeColor="text1"/>
        </w:rPr>
        <w:instrText>ADDIN CSL_CITATION {"citationItems":[{"id":"ITEM-1","itemData":{"DOI":"10.1038/nature02814","ISSN":"1476-4687","abstract":"Arising from: A. E. Saal, E. H. Hauri, C. H. Langmuir &amp; M. R. Perfit Nature 419, 451–455 (2002); Saal et al. \n                  reply\n                  \n                 Assessing the conditions under which magmas become fluid-saturated has important bearings on the geochemical modelling of magmas because volatile exsolution may profoundly alter the behaviour of certain trace elements that are strongly partitioned in the coexisting fluid1. Saal et al.2 report primitive melt inclusions from dredged oceanic basalts of the Siqueiros transform fault, from which they derive volatile abundances of the depleted mantle, based on the demonstration that magmas are not fluid-saturated at their eruption depth and so preserve the mantle signature in terms of their volatile contents. However, in their analysis, Saal et al.2 consider only fluid–melt equilibria, and do not take into account the homogeneous equilibria between fluid species, which, as we show here, may lead to a significant underestimation of the pressure depth of fluid saturation.","author":[{"dropping-particle":"","family":"Scaillet","given":"Bruno","non-dropping-particle":"","parse-names":false,"suffix":""},{"dropping-particle":"","family":"Pichavant","given":"Michel","non-dropping-particle":"","parse-names":false,"suffix":""}],"container-title":"Nature 2004 430:6999","id":"ITEM-1","issue":"6999","issued":{"date-parts":[["2004","7","28"]]},"page":"1-1","publisher":"Nature Publishing Group","title":"Role of fO2 on fluid saturation in oceanic basalt","type":"article-journal","volume":"430"},"uris":["http://www.mendeley.com/documents/?uuid=9c125417-1986-31bf-8cd7-282a066854e4"]}],"mendeley":{"formattedCitation":"(Scaillet and Pichavant, 2004)","manualFormatting":"Scaillet and Pichavant (2004)","plainTextFormattedCitation":"(Scaillet and Pichavant, 2004)","previouslyFormattedCitation":"(Scaillet and Pichavant, 2004)"},"properties":{"noteIndex":0},"schema":"https://github.com/citation-style-language/schema/raw/master/csl-citation.json"}</w:instrText>
      </w:r>
      <w:r w:rsidR="00F54859" w:rsidRPr="00E05E9B">
        <w:rPr>
          <w:rFonts w:ascii="Times New Roman" w:hAnsi="Times New Roman"/>
          <w:color w:val="000000" w:themeColor="text1"/>
        </w:rPr>
        <w:fldChar w:fldCharType="separate"/>
      </w:r>
      <w:r w:rsidR="00F54859" w:rsidRPr="00E05E9B">
        <w:rPr>
          <w:rFonts w:ascii="Times New Roman" w:hAnsi="Times New Roman"/>
          <w:noProof/>
          <w:color w:val="000000" w:themeColor="text1"/>
        </w:rPr>
        <w:t>Scaillet and Pichavant (2004)</w:t>
      </w:r>
      <w:r w:rsidR="00F54859" w:rsidRPr="00E05E9B">
        <w:rPr>
          <w:rFonts w:ascii="Times New Roman" w:hAnsi="Times New Roman"/>
          <w:color w:val="000000" w:themeColor="text1"/>
        </w:rPr>
        <w:fldChar w:fldCharType="end"/>
      </w:r>
      <w:r w:rsidR="00F54859" w:rsidRPr="00E05E9B">
        <w:rPr>
          <w:rFonts w:ascii="Times New Roman" w:hAnsi="Times New Roman"/>
          <w:color w:val="000000" w:themeColor="text1"/>
        </w:rPr>
        <w:t xml:space="preserve"> used the same melt and vapor spec</w:t>
      </w:r>
      <w:r w:rsidR="00F54859" w:rsidRPr="00892425">
        <w:rPr>
          <w:rFonts w:ascii="Times New Roman" w:hAnsi="Times New Roman"/>
        </w:rPr>
        <w:t xml:space="preserve">ies as </w:t>
      </w:r>
      <w:r w:rsidR="004B5F0C">
        <w:rPr>
          <w:rFonts w:ascii="Times New Roman" w:hAnsi="Times New Roman"/>
        </w:rPr>
        <w:t>case 2’</w:t>
      </w:r>
      <w:r w:rsidR="00F54859" w:rsidRPr="00892425">
        <w:rPr>
          <w:rFonts w:ascii="Times New Roman" w:hAnsi="Times New Roman"/>
        </w:rPr>
        <w:t xml:space="preserve">. Equivalent to our calculations, they calculated </w:t>
      </w:r>
      <w:proofErr w:type="spellStart"/>
      <w:r w:rsidR="00F54859" w:rsidRPr="00892425">
        <w:rPr>
          <w:rFonts w:ascii="Times New Roman" w:hAnsi="Times New Roman"/>
          <w:i/>
          <w:iCs/>
        </w:rPr>
        <w:t>P</w:t>
      </w:r>
      <w:r w:rsidR="00F54859" w:rsidRPr="00892425">
        <w:rPr>
          <w:rFonts w:ascii="Times New Roman" w:hAnsi="Times New Roman"/>
          <w:i/>
          <w:iCs/>
          <w:vertAlign w:val="superscript"/>
        </w:rPr>
        <w:t>v</w:t>
      </w:r>
      <w:r w:rsidR="00F54859" w:rsidRPr="00892425">
        <w:rPr>
          <w:rFonts w:ascii="Times New Roman" w:hAnsi="Times New Roman"/>
          <w:vertAlign w:val="subscript"/>
        </w:rPr>
        <w:t>sat</w:t>
      </w:r>
      <w:proofErr w:type="spellEnd"/>
      <w:r w:rsidR="00F54859" w:rsidRPr="00892425">
        <w:rPr>
          <w:rFonts w:ascii="Times New Roman" w:hAnsi="Times New Roman"/>
        </w:rPr>
        <w:t xml:space="preserve"> at constant </w:t>
      </w:r>
      <w:r w:rsidR="00F54859" w:rsidRPr="00892425">
        <w:rPr>
          <w:rFonts w:ascii="Times New Roman" w:hAnsi="Times New Roman"/>
          <w:i/>
          <w:iCs/>
        </w:rPr>
        <w:t>T</w:t>
      </w:r>
      <w:r w:rsidR="00F54859" w:rsidRPr="00892425">
        <w:rPr>
          <w:rFonts w:ascii="Times New Roman" w:hAnsi="Times New Roman"/>
        </w:rPr>
        <w:t>, constant H</w:t>
      </w:r>
      <w:r w:rsidR="00F54859" w:rsidRPr="00892425">
        <w:rPr>
          <w:rFonts w:ascii="Times New Roman" w:hAnsi="Times New Roman"/>
          <w:vertAlign w:val="subscript"/>
        </w:rPr>
        <w:t>2</w:t>
      </w:r>
      <w:r w:rsidR="00F54859" w:rsidRPr="00892425">
        <w:rPr>
          <w:rFonts w:ascii="Times New Roman" w:hAnsi="Times New Roman"/>
        </w:rPr>
        <w:t>O in the melt, various choices of constant total CO</w:t>
      </w:r>
      <w:r w:rsidR="00F54859" w:rsidRPr="00892425">
        <w:rPr>
          <w:rFonts w:ascii="Times New Roman" w:hAnsi="Times New Roman"/>
          <w:vertAlign w:val="subscript"/>
        </w:rPr>
        <w:t>2</w:t>
      </w:r>
      <w:r w:rsidR="00F54859" w:rsidRPr="00892425">
        <w:rPr>
          <w:rFonts w:ascii="Times New Roman" w:hAnsi="Times New Roman"/>
        </w:rPr>
        <w:t xml:space="preserve"> in the melt, and varying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rPr>
        <w:t xml:space="preserve">. Despite different values for the various thermodynamic parameters </w:t>
      </w:r>
      <w:r w:rsidR="009E3CD9">
        <w:rPr>
          <w:rFonts w:ascii="Times New Roman" w:hAnsi="Times New Roman"/>
        </w:rPr>
        <w:t xml:space="preserve">that were </w:t>
      </w:r>
      <w:r w:rsidR="00F54859" w:rsidRPr="00892425">
        <w:rPr>
          <w:rFonts w:ascii="Times New Roman" w:hAnsi="Times New Roman"/>
        </w:rPr>
        <w:t xml:space="preserve">used, both studies find that not </w:t>
      </w:r>
      <w:r w:rsidR="00F54859">
        <w:rPr>
          <w:rFonts w:ascii="Times New Roman" w:hAnsi="Times New Roman"/>
        </w:rPr>
        <w:t>including</w:t>
      </w:r>
      <w:r w:rsidR="00F54859" w:rsidRPr="00892425">
        <w:rPr>
          <w:rFonts w:ascii="Times New Roman" w:hAnsi="Times New Roman"/>
        </w:rPr>
        <w:t xml:space="preserve"> the presence of reduced C-O-H species in the vapor results in significant underestimates of </w:t>
      </w:r>
      <w:proofErr w:type="spellStart"/>
      <w:r w:rsidR="00F54859" w:rsidRPr="00892425">
        <w:rPr>
          <w:rFonts w:ascii="Times New Roman" w:hAnsi="Times New Roman"/>
          <w:i/>
          <w:iCs/>
        </w:rPr>
        <w:t>P</w:t>
      </w:r>
      <w:r w:rsidR="00F54859" w:rsidRPr="00892425">
        <w:rPr>
          <w:rFonts w:ascii="Times New Roman" w:hAnsi="Times New Roman"/>
          <w:i/>
          <w:iCs/>
          <w:vertAlign w:val="superscript"/>
        </w:rPr>
        <w:t>v</w:t>
      </w:r>
      <w:r w:rsidR="00F54859" w:rsidRPr="00892425">
        <w:rPr>
          <w:rFonts w:ascii="Times New Roman" w:hAnsi="Times New Roman"/>
          <w:vertAlign w:val="subscript"/>
        </w:rPr>
        <w:t>sat</w:t>
      </w:r>
      <w:proofErr w:type="spellEnd"/>
      <w:r w:rsidR="00F54859" w:rsidRPr="00892425">
        <w:rPr>
          <w:rFonts w:ascii="Times New Roman" w:hAnsi="Times New Roman"/>
        </w:rPr>
        <w:t xml:space="preserve"> at low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iCs/>
        </w:rPr>
        <w:t xml:space="preserve">. They </w:t>
      </w:r>
      <w:r w:rsidR="009E3CD9">
        <w:rPr>
          <w:rFonts w:ascii="Times New Roman" w:hAnsi="Times New Roman"/>
          <w:iCs/>
        </w:rPr>
        <w:t xml:space="preserve">also </w:t>
      </w:r>
      <w:r w:rsidR="00F54859" w:rsidRPr="00892425">
        <w:rPr>
          <w:rFonts w:ascii="Times New Roman" w:hAnsi="Times New Roman"/>
          <w:iCs/>
        </w:rPr>
        <w:t>found that this</w:t>
      </w:r>
      <w:r w:rsidR="00F54859" w:rsidRPr="00892425">
        <w:rPr>
          <w:rFonts w:ascii="Times New Roman" w:hAnsi="Times New Roman"/>
        </w:rPr>
        <w:t xml:space="preserve"> effect increases with increasing CO</w:t>
      </w:r>
      <w:r w:rsidR="00F54859" w:rsidRPr="00892425">
        <w:rPr>
          <w:rFonts w:ascii="Times New Roman" w:hAnsi="Times New Roman"/>
          <w:vertAlign w:val="subscript"/>
        </w:rPr>
        <w:t>2</w:t>
      </w:r>
      <w:r w:rsidR="00F54859" w:rsidRPr="00892425">
        <w:rPr>
          <w:rFonts w:ascii="Times New Roman" w:hAnsi="Times New Roman"/>
        </w:rPr>
        <w:t xml:space="preserve"> content of the melt,</w:t>
      </w:r>
      <w:r w:rsidR="009E3CD9">
        <w:rPr>
          <w:rFonts w:ascii="Times New Roman" w:hAnsi="Times New Roman"/>
        </w:rPr>
        <w:t xml:space="preserve"> in agreement with </w:t>
      </w:r>
      <w:r w:rsidR="00F54859" w:rsidRPr="00892425">
        <w:rPr>
          <w:rFonts w:ascii="Times New Roman" w:hAnsi="Times New Roman"/>
        </w:rPr>
        <w:t xml:space="preserve">our </w:t>
      </w:r>
      <w:r w:rsidR="009E3CD9">
        <w:rPr>
          <w:rFonts w:ascii="Times New Roman" w:hAnsi="Times New Roman"/>
        </w:rPr>
        <w:t>model results shown</w:t>
      </w:r>
      <w:r w:rsidR="00F54859" w:rsidRPr="00892425">
        <w:rPr>
          <w:rFonts w:ascii="Times New Roman" w:hAnsi="Times New Roman"/>
        </w:rPr>
        <w:t xml:space="preserve"> </w:t>
      </w:r>
      <w:r w:rsidR="003C231C">
        <w:rPr>
          <w:rFonts w:ascii="Times New Roman" w:hAnsi="Times New Roman"/>
        </w:rPr>
        <w:t>in the main text</w:t>
      </w:r>
      <w:r w:rsidR="00F54859" w:rsidRPr="00892425">
        <w:rPr>
          <w:rFonts w:ascii="Times New Roman" w:hAnsi="Times New Roman"/>
        </w:rPr>
        <w:t>. They also calculated the composition of the vapor (</w:t>
      </w:r>
      <w:r w:rsidR="00F54859" w:rsidRPr="00892425">
        <w:rPr>
          <w:rFonts w:ascii="Times New Roman" w:hAnsi="Times New Roman"/>
          <w:i/>
          <w:iCs/>
        </w:rPr>
        <w:t>x</w:t>
      </w:r>
      <w:r w:rsidR="00F54859" w:rsidRPr="00892425">
        <w:rPr>
          <w:rFonts w:ascii="Times New Roman" w:hAnsi="Times New Roman"/>
          <w:i/>
          <w:iCs/>
          <w:vertAlign w:val="superscript"/>
        </w:rPr>
        <w:t>v</w:t>
      </w:r>
      <w:r w:rsidR="00F54859" w:rsidRPr="00892425">
        <w:rPr>
          <w:rFonts w:ascii="Times New Roman" w:hAnsi="Times New Roman"/>
          <w:vertAlign w:val="subscript"/>
        </w:rPr>
        <w:t>H2O</w:t>
      </w:r>
      <w:r w:rsidR="00F54859" w:rsidRPr="00892425">
        <w:rPr>
          <w:rFonts w:ascii="Times New Roman" w:hAnsi="Times New Roman"/>
        </w:rPr>
        <w:t xml:space="preserve"> and </w:t>
      </w:r>
      <w:r w:rsidR="00F54859" w:rsidRPr="00892425">
        <w:rPr>
          <w:rFonts w:ascii="Times New Roman" w:hAnsi="Times New Roman"/>
          <w:i/>
          <w:iCs/>
        </w:rPr>
        <w:t>x</w:t>
      </w:r>
      <w:r w:rsidR="00F54859" w:rsidRPr="00892425">
        <w:rPr>
          <w:rFonts w:ascii="Times New Roman" w:hAnsi="Times New Roman"/>
          <w:i/>
          <w:iCs/>
          <w:vertAlign w:val="superscript"/>
        </w:rPr>
        <w:t>v</w:t>
      </w:r>
      <w:r w:rsidR="00F54859" w:rsidRPr="00892425">
        <w:rPr>
          <w:rFonts w:ascii="Times New Roman" w:hAnsi="Times New Roman"/>
          <w:vertAlign w:val="subscript"/>
        </w:rPr>
        <w:t>CO2</w:t>
      </w:r>
      <w:r w:rsidR="00F54859" w:rsidRPr="00892425">
        <w:rPr>
          <w:rFonts w:ascii="Times New Roman" w:hAnsi="Times New Roman"/>
        </w:rPr>
        <w:t>) and melt (CO</w:t>
      </w:r>
      <w:r w:rsidR="00F54859" w:rsidRPr="00892425">
        <w:rPr>
          <w:rFonts w:ascii="Times New Roman" w:hAnsi="Times New Roman"/>
          <w:vertAlign w:val="subscript"/>
        </w:rPr>
        <w:t>2</w:t>
      </w:r>
      <w:r w:rsidR="00F54859">
        <w:rPr>
          <w:rFonts w:ascii="Times New Roman" w:hAnsi="Times New Roman"/>
        </w:rPr>
        <w:t xml:space="preserve">-eq </w:t>
      </w:r>
      <w:r w:rsidR="00F54859" w:rsidRPr="00892425">
        <w:rPr>
          <w:rFonts w:ascii="Times New Roman" w:hAnsi="Times New Roman"/>
        </w:rPr>
        <w:t>and H</w:t>
      </w:r>
      <w:r w:rsidR="00F54859" w:rsidRPr="00892425">
        <w:rPr>
          <w:rFonts w:ascii="Times New Roman" w:hAnsi="Times New Roman"/>
          <w:vertAlign w:val="subscript"/>
        </w:rPr>
        <w:t>2</w:t>
      </w:r>
      <w:r w:rsidR="00F54859" w:rsidRPr="00892425">
        <w:rPr>
          <w:rFonts w:ascii="Times New Roman" w:hAnsi="Times New Roman"/>
        </w:rPr>
        <w:t>O</w:t>
      </w:r>
      <w:r w:rsidR="00F54859">
        <w:rPr>
          <w:rFonts w:ascii="Times New Roman" w:hAnsi="Times New Roman"/>
        </w:rPr>
        <w:t>-eq</w:t>
      </w:r>
      <w:r w:rsidR="00F54859" w:rsidRPr="00892425">
        <w:rPr>
          <w:rFonts w:ascii="Times New Roman" w:hAnsi="Times New Roman"/>
        </w:rPr>
        <w:t xml:space="preserve">) at constant </w:t>
      </w:r>
      <w:r w:rsidR="00F54859" w:rsidRPr="00892425">
        <w:rPr>
          <w:rFonts w:ascii="Times New Roman" w:hAnsi="Times New Roman"/>
          <w:i/>
          <w:iCs/>
        </w:rPr>
        <w:t>P</w:t>
      </w:r>
      <w:r w:rsidR="00F54859" w:rsidRPr="00892425">
        <w:rPr>
          <w:rFonts w:ascii="Times New Roman" w:hAnsi="Times New Roman"/>
        </w:rPr>
        <w:t xml:space="preserve"> (400 bar), </w:t>
      </w:r>
      <w:r w:rsidR="00F54859" w:rsidRPr="00892425">
        <w:rPr>
          <w:rFonts w:ascii="Times New Roman" w:hAnsi="Times New Roman"/>
          <w:i/>
          <w:iCs/>
        </w:rPr>
        <w:t>T</w:t>
      </w:r>
      <w:r w:rsidR="00F54859" w:rsidRPr="00892425">
        <w:rPr>
          <w:rFonts w:ascii="Times New Roman" w:hAnsi="Times New Roman"/>
        </w:rPr>
        <w:t xml:space="preserve"> (1200 °C), and </w:t>
      </w:r>
      <w:r w:rsidR="00F54859" w:rsidRPr="00892425">
        <w:rPr>
          <w:rFonts w:ascii="Times New Roman" w:hAnsi="Times New Roman"/>
          <w:i/>
          <w:iCs/>
        </w:rPr>
        <w:t>f</w:t>
      </w:r>
      <w:r w:rsidR="00F54859" w:rsidRPr="00892425">
        <w:rPr>
          <w:rFonts w:ascii="Times New Roman" w:hAnsi="Times New Roman"/>
          <w:vertAlign w:val="subscript"/>
        </w:rPr>
        <w:t>H2</w:t>
      </w:r>
      <w:r w:rsidR="00F54859" w:rsidRPr="00892425">
        <w:rPr>
          <w:rFonts w:ascii="Times New Roman" w:hAnsi="Times New Roman"/>
        </w:rPr>
        <w:t xml:space="preserve"> (either 0.01 or 1 bar) whilst varying </w:t>
      </w:r>
      <w:r w:rsidR="00F54859" w:rsidRPr="00892425">
        <w:rPr>
          <w:rFonts w:ascii="Times New Roman" w:hAnsi="Times New Roman"/>
          <w:i/>
          <w:iCs/>
        </w:rPr>
        <w:t>f</w:t>
      </w:r>
      <w:r w:rsidR="00F54859" w:rsidRPr="00892425">
        <w:rPr>
          <w:rFonts w:ascii="Times New Roman" w:hAnsi="Times New Roman"/>
          <w:vertAlign w:val="subscript"/>
        </w:rPr>
        <w:t>H2O</w:t>
      </w:r>
      <w:r w:rsidR="00F54859" w:rsidRPr="00892425">
        <w:rPr>
          <w:rFonts w:ascii="Times New Roman" w:hAnsi="Times New Roman"/>
        </w:rPr>
        <w:t xml:space="preserve">, which allowed them to look at the effects of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rPr>
        <w:t xml:space="preserve"> on vapor and melt composition. At H</w:t>
      </w:r>
      <w:r w:rsidR="00F54859" w:rsidRPr="00892425">
        <w:rPr>
          <w:rFonts w:ascii="Times New Roman" w:hAnsi="Times New Roman"/>
          <w:vertAlign w:val="subscript"/>
        </w:rPr>
        <w:t>2</w:t>
      </w:r>
      <w:r w:rsidR="00F54859" w:rsidRPr="00892425">
        <w:rPr>
          <w:rFonts w:ascii="Times New Roman" w:hAnsi="Times New Roman"/>
        </w:rPr>
        <w:t>O</w:t>
      </w:r>
      <w:r w:rsidR="00F54859">
        <w:rPr>
          <w:rFonts w:ascii="Times New Roman" w:hAnsi="Times New Roman"/>
        </w:rPr>
        <w:t>-eq</w:t>
      </w:r>
      <w:r w:rsidR="00F54859" w:rsidRPr="00892425">
        <w:rPr>
          <w:rFonts w:ascii="Times New Roman" w:hAnsi="Times New Roman"/>
        </w:rPr>
        <w:t xml:space="preserve"> &lt; 1 </w:t>
      </w:r>
      <w:proofErr w:type="spellStart"/>
      <w:r w:rsidR="00F54859" w:rsidRPr="00892425">
        <w:rPr>
          <w:rFonts w:ascii="Times New Roman" w:hAnsi="Times New Roman"/>
        </w:rPr>
        <w:t>wt</w:t>
      </w:r>
      <w:proofErr w:type="spellEnd"/>
      <w:r w:rsidR="00F54859" w:rsidRPr="00892425">
        <w:rPr>
          <w:rFonts w:ascii="Times New Roman" w:hAnsi="Times New Roman"/>
        </w:rPr>
        <w:t xml:space="preserve">%, the melt and vapor </w:t>
      </w:r>
      <w:r w:rsidR="009E3CD9">
        <w:rPr>
          <w:rFonts w:ascii="Times New Roman" w:hAnsi="Times New Roman"/>
        </w:rPr>
        <w:t xml:space="preserve">calculated using their model </w:t>
      </w:r>
      <w:r w:rsidR="00F54859" w:rsidRPr="00892425">
        <w:rPr>
          <w:rFonts w:ascii="Times New Roman" w:hAnsi="Times New Roman"/>
        </w:rPr>
        <w:t>contained less CO</w:t>
      </w:r>
      <w:r w:rsidR="00F54859" w:rsidRPr="00892425">
        <w:rPr>
          <w:rFonts w:ascii="Times New Roman" w:hAnsi="Times New Roman"/>
          <w:vertAlign w:val="subscript"/>
        </w:rPr>
        <w:t>2</w:t>
      </w:r>
      <w:r w:rsidR="00F54859" w:rsidRPr="00892425">
        <w:rPr>
          <w:rFonts w:ascii="Times New Roman" w:hAnsi="Times New Roman"/>
        </w:rPr>
        <w:t xml:space="preserve"> under reducing conditions compared to oxidising conditions. </w:t>
      </w:r>
      <w:r w:rsidR="009E3CD9">
        <w:rPr>
          <w:rFonts w:ascii="Times New Roman" w:hAnsi="Times New Roman"/>
        </w:rPr>
        <w:t>However, a</w:t>
      </w:r>
      <w:r w:rsidR="00F54859" w:rsidRPr="00892425">
        <w:rPr>
          <w:rFonts w:ascii="Times New Roman" w:hAnsi="Times New Roman"/>
        </w:rPr>
        <w:t>t H</w:t>
      </w:r>
      <w:r w:rsidR="00F54859" w:rsidRPr="00892425">
        <w:rPr>
          <w:rFonts w:ascii="Times New Roman" w:hAnsi="Times New Roman"/>
          <w:vertAlign w:val="subscript"/>
        </w:rPr>
        <w:t>2</w:t>
      </w:r>
      <w:r w:rsidR="00F54859" w:rsidRPr="00892425">
        <w:rPr>
          <w:rFonts w:ascii="Times New Roman" w:hAnsi="Times New Roman"/>
        </w:rPr>
        <w:t>O</w:t>
      </w:r>
      <w:r w:rsidR="00F54859">
        <w:rPr>
          <w:rFonts w:ascii="Times New Roman" w:hAnsi="Times New Roman"/>
        </w:rPr>
        <w:t>-eq</w:t>
      </w:r>
      <w:r w:rsidR="00F54859" w:rsidRPr="00892425">
        <w:rPr>
          <w:rFonts w:ascii="Times New Roman" w:hAnsi="Times New Roman"/>
        </w:rPr>
        <w:t xml:space="preserve"> &gt;1 </w:t>
      </w:r>
      <w:proofErr w:type="spellStart"/>
      <w:r w:rsidR="00F54859" w:rsidRPr="00892425">
        <w:rPr>
          <w:rFonts w:ascii="Times New Roman" w:hAnsi="Times New Roman"/>
        </w:rPr>
        <w:t>wt</w:t>
      </w:r>
      <w:proofErr w:type="spellEnd"/>
      <w:r w:rsidR="00F54859" w:rsidRPr="00892425">
        <w:rPr>
          <w:rFonts w:ascii="Times New Roman" w:hAnsi="Times New Roman"/>
        </w:rPr>
        <w:t>%, the</w:t>
      </w:r>
      <w:r w:rsidR="009E3CD9">
        <w:rPr>
          <w:rFonts w:ascii="Times New Roman" w:hAnsi="Times New Roman"/>
        </w:rPr>
        <w:t>ir calcu</w:t>
      </w:r>
      <w:r w:rsidR="009644FA">
        <w:rPr>
          <w:rFonts w:ascii="Times New Roman" w:hAnsi="Times New Roman"/>
        </w:rPr>
        <w:t>l</w:t>
      </w:r>
      <w:r w:rsidR="009E3CD9">
        <w:rPr>
          <w:rFonts w:ascii="Times New Roman" w:hAnsi="Times New Roman"/>
        </w:rPr>
        <w:t>ated</w:t>
      </w:r>
      <w:r w:rsidR="00F54859" w:rsidRPr="00892425">
        <w:rPr>
          <w:rFonts w:ascii="Times New Roman" w:hAnsi="Times New Roman"/>
        </w:rPr>
        <w:t xml:space="preserve"> melt and vapor composition</w:t>
      </w:r>
      <w:r w:rsidR="004B5F0C">
        <w:rPr>
          <w:rFonts w:ascii="Times New Roman" w:hAnsi="Times New Roman"/>
        </w:rPr>
        <w:t>s</w:t>
      </w:r>
      <w:r w:rsidR="00F54859" w:rsidRPr="00892425">
        <w:rPr>
          <w:rFonts w:ascii="Times New Roman" w:hAnsi="Times New Roman"/>
        </w:rPr>
        <w:t xml:space="preserve"> were </w:t>
      </w:r>
      <w:r w:rsidR="009E3CD9">
        <w:rPr>
          <w:rFonts w:ascii="Times New Roman" w:hAnsi="Times New Roman"/>
        </w:rPr>
        <w:t>essentially independent</w:t>
      </w:r>
      <w:r w:rsidR="00F54859" w:rsidRPr="00892425">
        <w:rPr>
          <w:rFonts w:ascii="Times New Roman" w:hAnsi="Times New Roman"/>
        </w:rPr>
        <w:t xml:space="preserve"> of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rPr>
        <w:t xml:space="preserve">, from which they concluded that calculations of </w:t>
      </w:r>
      <w:proofErr w:type="spellStart"/>
      <w:r w:rsidR="00F54859" w:rsidRPr="00892425">
        <w:rPr>
          <w:rFonts w:ascii="Times New Roman" w:hAnsi="Times New Roman"/>
          <w:i/>
          <w:iCs/>
        </w:rPr>
        <w:t>P</w:t>
      </w:r>
      <w:r w:rsidR="00F54859" w:rsidRPr="00892425">
        <w:rPr>
          <w:rFonts w:ascii="Times New Roman" w:hAnsi="Times New Roman"/>
          <w:i/>
          <w:iCs/>
          <w:vertAlign w:val="superscript"/>
        </w:rPr>
        <w:t>v</w:t>
      </w:r>
      <w:r w:rsidR="00F54859" w:rsidRPr="00892425">
        <w:rPr>
          <w:rFonts w:ascii="Times New Roman" w:hAnsi="Times New Roman"/>
          <w:vertAlign w:val="subscript"/>
        </w:rPr>
        <w:t>sat</w:t>
      </w:r>
      <w:proofErr w:type="spellEnd"/>
      <w:r w:rsidR="00F54859" w:rsidRPr="00892425">
        <w:rPr>
          <w:rFonts w:ascii="Times New Roman" w:hAnsi="Times New Roman"/>
        </w:rPr>
        <w:t xml:space="preserve"> for high water contents were not affected by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rPr>
        <w:t xml:space="preserve">. This contrasts with our results at 3 </w:t>
      </w:r>
      <w:proofErr w:type="spellStart"/>
      <w:r w:rsidR="00F54859" w:rsidRPr="00892425">
        <w:rPr>
          <w:rFonts w:ascii="Times New Roman" w:hAnsi="Times New Roman"/>
        </w:rPr>
        <w:t>wt</w:t>
      </w:r>
      <w:proofErr w:type="spellEnd"/>
      <w:r w:rsidR="00F54859" w:rsidRPr="00892425">
        <w:rPr>
          <w:rFonts w:ascii="Times New Roman" w:hAnsi="Times New Roman"/>
        </w:rPr>
        <w:t>% H</w:t>
      </w:r>
      <w:r w:rsidR="00F54859" w:rsidRPr="00892425">
        <w:rPr>
          <w:rFonts w:ascii="Times New Roman" w:hAnsi="Times New Roman"/>
          <w:vertAlign w:val="subscript"/>
        </w:rPr>
        <w:t>2</w:t>
      </w:r>
      <w:r w:rsidR="00F54859" w:rsidRPr="00892425">
        <w:rPr>
          <w:rFonts w:ascii="Times New Roman" w:hAnsi="Times New Roman"/>
        </w:rPr>
        <w:t xml:space="preserve">O-eq. However, this likely reflects the high </w:t>
      </w:r>
      <w:r w:rsidR="00F54859" w:rsidRPr="00892425">
        <w:rPr>
          <w:rFonts w:ascii="Times New Roman" w:hAnsi="Times New Roman"/>
          <w:i/>
          <w:iCs/>
        </w:rPr>
        <w:t>f</w:t>
      </w:r>
      <w:r w:rsidR="00F54859" w:rsidRPr="00892425">
        <w:rPr>
          <w:rFonts w:ascii="Times New Roman" w:hAnsi="Times New Roman"/>
          <w:vertAlign w:val="subscript"/>
        </w:rPr>
        <w:t>O2</w:t>
      </w:r>
      <w:r w:rsidR="00F54859" w:rsidRPr="00892425">
        <w:rPr>
          <w:rFonts w:ascii="Times New Roman" w:hAnsi="Times New Roman"/>
        </w:rPr>
        <w:t xml:space="preserve"> (</w:t>
      </w:r>
      <w:r w:rsidR="00F54859" w:rsidRPr="00892425">
        <w:rPr>
          <w:rFonts w:ascii="Times New Roman" w:hAnsi="Times New Roman"/>
          <w:color w:val="000000" w:themeColor="text1"/>
        </w:rPr>
        <w:sym w:font="Symbol" w:char="F044"/>
      </w:r>
      <w:r w:rsidR="00F54859" w:rsidRPr="00892425">
        <w:rPr>
          <w:rFonts w:ascii="Times New Roman" w:hAnsi="Times New Roman"/>
          <w:color w:val="000000" w:themeColor="text1"/>
        </w:rPr>
        <w:t>FMQ &gt; 0.5</w:t>
      </w:r>
      <w:r w:rsidR="00F54859" w:rsidRPr="00892425">
        <w:rPr>
          <w:rFonts w:ascii="Times New Roman" w:hAnsi="Times New Roman"/>
        </w:rPr>
        <w:t>) of their calculations at H</w:t>
      </w:r>
      <w:r w:rsidR="00F54859" w:rsidRPr="00892425">
        <w:rPr>
          <w:rFonts w:ascii="Times New Roman" w:hAnsi="Times New Roman"/>
          <w:vertAlign w:val="subscript"/>
        </w:rPr>
        <w:t>2</w:t>
      </w:r>
      <w:r w:rsidR="00F54859" w:rsidRPr="00892425">
        <w:rPr>
          <w:rFonts w:ascii="Times New Roman" w:hAnsi="Times New Roman"/>
        </w:rPr>
        <w:t xml:space="preserve">O &gt; 1 </w:t>
      </w:r>
      <w:proofErr w:type="spellStart"/>
      <w:r w:rsidR="00F54859" w:rsidRPr="00892425">
        <w:rPr>
          <w:rFonts w:ascii="Times New Roman" w:hAnsi="Times New Roman"/>
        </w:rPr>
        <w:t>wt</w:t>
      </w:r>
      <w:proofErr w:type="spellEnd"/>
      <w:r w:rsidR="00F54859" w:rsidRPr="00892425">
        <w:rPr>
          <w:rFonts w:ascii="Times New Roman" w:hAnsi="Times New Roman"/>
        </w:rPr>
        <w:t>%</w:t>
      </w:r>
      <w:r w:rsidR="00F54859">
        <w:rPr>
          <w:rFonts w:ascii="Times New Roman" w:hAnsi="Times New Roman"/>
        </w:rPr>
        <w:t xml:space="preserve"> such that the effects of adding reduced </w:t>
      </w:r>
      <w:r w:rsidR="004B5F0C">
        <w:rPr>
          <w:rFonts w:ascii="Times New Roman" w:hAnsi="Times New Roman"/>
        </w:rPr>
        <w:t xml:space="preserve">C-O-H </w:t>
      </w:r>
      <w:r w:rsidR="00F54859">
        <w:rPr>
          <w:rFonts w:ascii="Times New Roman" w:hAnsi="Times New Roman"/>
        </w:rPr>
        <w:t xml:space="preserve">species at low </w:t>
      </w:r>
      <w:r w:rsidR="00F54859">
        <w:rPr>
          <w:rFonts w:ascii="Times New Roman" w:hAnsi="Times New Roman"/>
          <w:i/>
          <w:iCs/>
        </w:rPr>
        <w:t>f</w:t>
      </w:r>
      <w:r w:rsidR="00F54859" w:rsidRPr="00C54C3A">
        <w:rPr>
          <w:rFonts w:ascii="Times New Roman" w:hAnsi="Times New Roman"/>
          <w:vertAlign w:val="subscript"/>
        </w:rPr>
        <w:t>O2</w:t>
      </w:r>
      <w:r w:rsidR="00F54859">
        <w:rPr>
          <w:rFonts w:ascii="Times New Roman" w:hAnsi="Times New Roman"/>
        </w:rPr>
        <w:t xml:space="preserve"> were not observed.</w:t>
      </w:r>
    </w:p>
    <w:p w14:paraId="6876F893" w14:textId="1C7B17C0" w:rsidR="00F54859" w:rsidRDefault="00F54859" w:rsidP="007A64EF">
      <w:pPr>
        <w:jc w:val="both"/>
        <w:rPr>
          <w:rFonts w:ascii="Times New Roman" w:hAnsi="Times New Roman"/>
          <w:color w:val="000000" w:themeColor="text1"/>
        </w:rPr>
      </w:pPr>
    </w:p>
    <w:p w14:paraId="29B66982" w14:textId="42EBBFDA" w:rsidR="00183CAA" w:rsidRPr="00892425" w:rsidRDefault="00183CAA" w:rsidP="00CD3D14">
      <w:pPr>
        <w:pStyle w:val="Heading3"/>
      </w:pPr>
      <w:bookmarkStart w:id="26" w:name="_Ref87348400"/>
      <w:bookmarkStart w:id="27" w:name="_Ref127253447"/>
      <w:r w:rsidRPr="00892425">
        <w:t xml:space="preserve">Case </w:t>
      </w:r>
      <w:r w:rsidR="003C231C">
        <w:t>3</w:t>
      </w:r>
      <w:r w:rsidR="003F22E0">
        <w:t>’</w:t>
      </w:r>
      <w:r w:rsidRPr="00892425">
        <w:t>: H</w:t>
      </w:r>
      <w:r w:rsidRPr="00892425">
        <w:rPr>
          <w:vertAlign w:val="subscript"/>
        </w:rPr>
        <w:t>2</w:t>
      </w:r>
      <w:r w:rsidRPr="00892425">
        <w:t xml:space="preserve">S is </w:t>
      </w:r>
      <w:r>
        <w:t>in</w:t>
      </w:r>
      <w:r w:rsidRPr="00892425">
        <w:t>soluble in the melt</w:t>
      </w:r>
      <w:bookmarkEnd w:id="26"/>
      <w:r>
        <w:t>.</w:t>
      </w:r>
      <w:bookmarkEnd w:id="27"/>
    </w:p>
    <w:p w14:paraId="44D2A74F" w14:textId="2EE77B53" w:rsidR="00183CAA" w:rsidRDefault="003F22E0" w:rsidP="00147AF9">
      <w:pPr>
        <w:spacing w:after="245"/>
        <w:ind w:firstLine="720"/>
        <w:jc w:val="both"/>
        <w:rPr>
          <w:rFonts w:ascii="Times New Roman" w:hAnsi="Times New Roman"/>
        </w:rPr>
      </w:pPr>
      <w:r w:rsidRPr="00892425">
        <w:rPr>
          <w:rFonts w:ascii="Times New Roman" w:hAnsi="Times New Roman"/>
        </w:rPr>
        <w:t xml:space="preserve">As for case </w:t>
      </w:r>
      <w:r w:rsidR="003C231C">
        <w:rPr>
          <w:rFonts w:ascii="Times New Roman" w:hAnsi="Times New Roman"/>
        </w:rPr>
        <w:t>3</w:t>
      </w:r>
      <w:r w:rsidRPr="00892425">
        <w:rPr>
          <w:rFonts w:ascii="Times New Roman" w:hAnsi="Times New Roman"/>
        </w:rPr>
        <w:t>, the behaviour of the purely C-O-H species is essentially unchanged</w:t>
      </w:r>
      <w:r>
        <w:rPr>
          <w:rFonts w:ascii="Times New Roman" w:hAnsi="Times New Roman"/>
        </w:rPr>
        <w:t xml:space="preserve"> in case </w:t>
      </w:r>
      <w:r w:rsidR="005F4E99">
        <w:rPr>
          <w:rFonts w:ascii="Times New Roman" w:hAnsi="Times New Roman"/>
        </w:rPr>
        <w:t>3</w:t>
      </w:r>
      <w:r>
        <w:rPr>
          <w:rFonts w:ascii="Times New Roman" w:hAnsi="Times New Roman"/>
        </w:rPr>
        <w:t>’</w:t>
      </w:r>
      <w:r w:rsidRPr="00892425">
        <w:rPr>
          <w:rFonts w:ascii="Times New Roman" w:hAnsi="Times New Roman"/>
        </w:rPr>
        <w:t xml:space="preserve"> </w:t>
      </w:r>
      <w:r w:rsidR="002B13DE">
        <w:rPr>
          <w:rFonts w:ascii="Times New Roman" w:hAnsi="Times New Roman"/>
        </w:rPr>
        <w:t xml:space="preserve">compared to case 2 </w:t>
      </w:r>
      <w:r w:rsidRPr="00892425">
        <w:rPr>
          <w:rFonts w:ascii="Times New Roman" w:hAnsi="Times New Roman"/>
          <w:color w:val="000000" w:themeColor="text1"/>
        </w:rPr>
        <w:t>(</w:t>
      </w:r>
      <w:r w:rsidR="004B5F0C" w:rsidRPr="004B5F0C">
        <w:rPr>
          <w:rFonts w:ascii="Times New Roman" w:hAnsi="Times New Roman" w:cs="Times New Roman"/>
          <w:color w:val="000000" w:themeColor="text1"/>
        </w:rPr>
        <w:fldChar w:fldCharType="begin"/>
      </w:r>
      <w:r w:rsidR="004B5F0C" w:rsidRPr="004B5F0C">
        <w:rPr>
          <w:rFonts w:ascii="Times New Roman" w:hAnsi="Times New Roman" w:cs="Times New Roman"/>
          <w:color w:val="000000" w:themeColor="text1"/>
        </w:rPr>
        <w:instrText xml:space="preserve"> REF _Ref127448317 \h </w:instrText>
      </w:r>
      <w:r w:rsidR="004B5F0C">
        <w:rPr>
          <w:rFonts w:ascii="Times New Roman" w:hAnsi="Times New Roman" w:cs="Times New Roman"/>
          <w:color w:val="000000" w:themeColor="text1"/>
        </w:rPr>
        <w:instrText xml:space="preserve"> \* MERGEFORMAT </w:instrText>
      </w:r>
      <w:r w:rsidR="004B5F0C" w:rsidRPr="004B5F0C">
        <w:rPr>
          <w:rFonts w:ascii="Times New Roman" w:hAnsi="Times New Roman" w:cs="Times New Roman"/>
          <w:color w:val="000000" w:themeColor="text1"/>
        </w:rPr>
      </w:r>
      <w:r w:rsidR="004B5F0C" w:rsidRPr="004B5F0C">
        <w:rPr>
          <w:rFonts w:ascii="Times New Roman" w:hAnsi="Times New Roman" w:cs="Times New Roman"/>
          <w:color w:val="000000" w:themeColor="text1"/>
        </w:rPr>
        <w:fldChar w:fldCharType="separate"/>
      </w:r>
      <w:r w:rsidR="009644FA" w:rsidRPr="00147AF9">
        <w:rPr>
          <w:rFonts w:ascii="Times New Roman" w:hAnsi="Times New Roman" w:cs="Times New Roman"/>
          <w:color w:val="000000" w:themeColor="text1"/>
        </w:rPr>
        <w:t>Figure S13</w:t>
      </w:r>
      <w:r w:rsidR="004B5F0C" w:rsidRPr="004B5F0C">
        <w:rPr>
          <w:rFonts w:ascii="Times New Roman" w:hAnsi="Times New Roman" w:cs="Times New Roman"/>
          <w:color w:val="000000" w:themeColor="text1"/>
        </w:rPr>
        <w:fldChar w:fldCharType="end"/>
      </w:r>
      <w:r w:rsidRPr="00892425">
        <w:rPr>
          <w:rFonts w:ascii="Times New Roman" w:hAnsi="Times New Roman"/>
        </w:rPr>
        <w:t xml:space="preserve">). </w:t>
      </w:r>
      <w:r w:rsidRPr="00892425">
        <w:rPr>
          <w:rFonts w:ascii="Times New Roman" w:hAnsi="Times New Roman"/>
          <w:color w:val="000000" w:themeColor="text1"/>
        </w:rPr>
        <w:t xml:space="preserve">Likewise, the S-speciation of the melt in both </w:t>
      </w:r>
      <w:r w:rsidR="003C231C">
        <w:rPr>
          <w:rFonts w:ascii="Times New Roman" w:hAnsi="Times New Roman"/>
          <w:color w:val="000000" w:themeColor="text1"/>
        </w:rPr>
        <w:t>case 3 and 3’</w:t>
      </w:r>
      <w:r w:rsidRPr="00892425">
        <w:rPr>
          <w:rFonts w:ascii="Times New Roman" w:hAnsi="Times New Roman"/>
          <w:color w:val="000000" w:themeColor="text1"/>
        </w:rPr>
        <w:t xml:space="preserve"> is dominated by SO</w:t>
      </w:r>
      <w:r w:rsidRPr="00892425">
        <w:rPr>
          <w:rFonts w:ascii="Times New Roman" w:hAnsi="Times New Roman"/>
          <w:color w:val="000000" w:themeColor="text1"/>
          <w:vertAlign w:val="subscript"/>
        </w:rPr>
        <w:t>4</w:t>
      </w:r>
      <w:r w:rsidRPr="00892425">
        <w:rPr>
          <w:rFonts w:ascii="Times New Roman" w:hAnsi="Times New Roman"/>
          <w:color w:val="000000" w:themeColor="text1"/>
          <w:vertAlign w:val="superscript"/>
        </w:rPr>
        <w:t>2-</w:t>
      </w:r>
      <w:r w:rsidRPr="00892425">
        <w:rPr>
          <w:rFonts w:ascii="Times New Roman" w:hAnsi="Times New Roman"/>
          <w:color w:val="000000" w:themeColor="text1"/>
        </w:rPr>
        <w:t xml:space="preserve"> at </w:t>
      </w:r>
      <w:r w:rsidRPr="00892425">
        <w:rPr>
          <w:rFonts w:ascii="Times New Roman" w:hAnsi="Times New Roman"/>
          <w:lang w:val="en-US"/>
        </w:rPr>
        <w:sym w:font="Symbol" w:char="F044"/>
      </w:r>
      <w:r w:rsidRPr="00892425">
        <w:rPr>
          <w:rFonts w:ascii="Times New Roman" w:hAnsi="Times New Roman"/>
          <w:lang w:val="en-US"/>
        </w:rPr>
        <w:t xml:space="preserve">FMQ </w:t>
      </w:r>
      <w:r w:rsidRPr="00892425">
        <w:rPr>
          <w:rFonts w:ascii="Times New Roman" w:hAnsi="Times New Roman"/>
          <w:color w:val="000000" w:themeColor="text1"/>
        </w:rPr>
        <w:t xml:space="preserve">&gt; </w:t>
      </w:r>
      <w:r w:rsidRPr="00892425">
        <w:rPr>
          <w:rFonts w:ascii="Times New Roman" w:hAnsi="Times New Roman"/>
          <w:lang w:val="en-US"/>
        </w:rPr>
        <w:t>+1</w:t>
      </w:r>
      <w:r w:rsidRPr="00892425">
        <w:rPr>
          <w:rFonts w:ascii="Times New Roman" w:hAnsi="Times New Roman"/>
          <w:color w:val="000000" w:themeColor="text1"/>
        </w:rPr>
        <w:t xml:space="preserve"> and </w:t>
      </w:r>
      <w:r>
        <w:rPr>
          <w:rFonts w:ascii="Times New Roman" w:hAnsi="Times New Roman"/>
          <w:color w:val="000000" w:themeColor="text1"/>
        </w:rPr>
        <w:t>*</w:t>
      </w:r>
      <w:r w:rsidRPr="00892425">
        <w:rPr>
          <w:rFonts w:ascii="Times New Roman" w:hAnsi="Times New Roman"/>
          <w:color w:val="000000" w:themeColor="text1"/>
        </w:rPr>
        <w:t>S</w:t>
      </w:r>
      <w:r w:rsidRPr="00892425">
        <w:rPr>
          <w:rFonts w:ascii="Times New Roman" w:hAnsi="Times New Roman"/>
          <w:color w:val="000000" w:themeColor="text1"/>
          <w:vertAlign w:val="superscript"/>
        </w:rPr>
        <w:t>2-</w:t>
      </w:r>
      <w:r w:rsidRPr="00892425">
        <w:rPr>
          <w:rFonts w:ascii="Times New Roman" w:hAnsi="Times New Roman"/>
          <w:color w:val="000000" w:themeColor="text1"/>
        </w:rPr>
        <w:t xml:space="preserve"> species below this </w:t>
      </w:r>
      <w:r w:rsidRPr="00892425">
        <w:rPr>
          <w:rFonts w:ascii="Times New Roman" w:hAnsi="Times New Roman"/>
          <w:i/>
          <w:iCs/>
          <w:color w:val="000000" w:themeColor="text1"/>
        </w:rPr>
        <w:t>f</w:t>
      </w:r>
      <w:r w:rsidRPr="00892425">
        <w:rPr>
          <w:rFonts w:ascii="Times New Roman" w:hAnsi="Times New Roman"/>
          <w:color w:val="000000" w:themeColor="text1"/>
          <w:vertAlign w:val="subscript"/>
        </w:rPr>
        <w:t>O2</w:t>
      </w:r>
      <w:r w:rsidRPr="00892425">
        <w:rPr>
          <w:rFonts w:ascii="Times New Roman" w:hAnsi="Times New Roman"/>
          <w:color w:val="000000" w:themeColor="text1"/>
        </w:rPr>
        <w:t xml:space="preserve"> (</w:t>
      </w:r>
      <w:r w:rsidR="004B5F0C" w:rsidRPr="004B5F0C">
        <w:rPr>
          <w:rFonts w:ascii="Times New Roman" w:hAnsi="Times New Roman" w:cs="Times New Roman"/>
          <w:color w:val="000000" w:themeColor="text1"/>
        </w:rPr>
        <w:fldChar w:fldCharType="begin"/>
      </w:r>
      <w:r w:rsidR="004B5F0C" w:rsidRPr="004B5F0C">
        <w:rPr>
          <w:rFonts w:ascii="Times New Roman" w:hAnsi="Times New Roman" w:cs="Times New Roman"/>
          <w:color w:val="000000" w:themeColor="text1"/>
        </w:rPr>
        <w:instrText xml:space="preserve"> REF _Ref127448317 \h </w:instrText>
      </w:r>
      <w:r w:rsidR="004B5F0C">
        <w:rPr>
          <w:rFonts w:ascii="Times New Roman" w:hAnsi="Times New Roman" w:cs="Times New Roman"/>
          <w:color w:val="000000" w:themeColor="text1"/>
        </w:rPr>
        <w:instrText xml:space="preserve"> \* MERGEFORMAT </w:instrText>
      </w:r>
      <w:r w:rsidR="004B5F0C" w:rsidRPr="004B5F0C">
        <w:rPr>
          <w:rFonts w:ascii="Times New Roman" w:hAnsi="Times New Roman" w:cs="Times New Roman"/>
          <w:color w:val="000000" w:themeColor="text1"/>
        </w:rPr>
      </w:r>
      <w:r w:rsidR="004B5F0C" w:rsidRPr="004B5F0C">
        <w:rPr>
          <w:rFonts w:ascii="Times New Roman" w:hAnsi="Times New Roman" w:cs="Times New Roman"/>
          <w:color w:val="000000" w:themeColor="text1"/>
        </w:rPr>
        <w:fldChar w:fldCharType="separate"/>
      </w:r>
      <w:r w:rsidR="009644FA" w:rsidRPr="00147AF9">
        <w:rPr>
          <w:rFonts w:ascii="Times New Roman" w:hAnsi="Times New Roman" w:cs="Times New Roman"/>
          <w:color w:val="000000" w:themeColor="text1"/>
        </w:rPr>
        <w:t>Figure S13</w:t>
      </w:r>
      <w:r w:rsidR="004B5F0C" w:rsidRPr="004B5F0C">
        <w:rPr>
          <w:rFonts w:ascii="Times New Roman" w:hAnsi="Times New Roman" w:cs="Times New Roman"/>
          <w:color w:val="000000" w:themeColor="text1"/>
        </w:rPr>
        <w:fldChar w:fldCharType="end"/>
      </w:r>
      <w:r w:rsidR="004B5F0C">
        <w:rPr>
          <w:rFonts w:ascii="Times New Roman" w:hAnsi="Times New Roman" w:cs="Times New Roman"/>
          <w:color w:val="000000" w:themeColor="text1"/>
        </w:rPr>
        <w:t>c and d</w:t>
      </w:r>
      <w:r w:rsidRPr="00892425">
        <w:rPr>
          <w:rFonts w:ascii="Times New Roman" w:hAnsi="Times New Roman"/>
          <w:color w:val="000000" w:themeColor="text1"/>
        </w:rPr>
        <w:t>)</w:t>
      </w:r>
      <w:r w:rsidR="005F4E99">
        <w:rPr>
          <w:rFonts w:ascii="Times New Roman" w:hAnsi="Times New Roman"/>
          <w:color w:val="000000" w:themeColor="text1"/>
        </w:rPr>
        <w:t xml:space="preserve">, </w:t>
      </w:r>
      <w:r w:rsidR="004358B7">
        <w:rPr>
          <w:rFonts w:ascii="Times New Roman" w:hAnsi="Times New Roman"/>
          <w:color w:val="000000" w:themeColor="text1"/>
        </w:rPr>
        <w:t xml:space="preserve">resulting </w:t>
      </w:r>
      <w:r w:rsidR="00183CAA" w:rsidRPr="00892425">
        <w:rPr>
          <w:rFonts w:ascii="Times New Roman" w:hAnsi="Times New Roman"/>
        </w:rPr>
        <w:t>in the well-known sigmoidal shape of S</w:t>
      </w:r>
      <w:r w:rsidR="00183CAA" w:rsidRPr="00892425">
        <w:rPr>
          <w:rFonts w:ascii="Times New Roman" w:hAnsi="Times New Roman"/>
          <w:vertAlign w:val="superscript"/>
        </w:rPr>
        <w:t>6+</w:t>
      </w:r>
      <w:r w:rsidR="00183CAA" w:rsidRPr="00892425">
        <w:rPr>
          <w:rFonts w:ascii="Times New Roman" w:hAnsi="Times New Roman"/>
        </w:rPr>
        <w:t>/S</w:t>
      </w:r>
      <w:r w:rsidR="00183CAA" w:rsidRPr="00892425">
        <w:rPr>
          <w:rFonts w:ascii="Times New Roman" w:hAnsi="Times New Roman"/>
          <w:vertAlign w:val="subscript"/>
        </w:rPr>
        <w:t>T</w:t>
      </w:r>
      <w:r w:rsidR="00183CAA" w:rsidRPr="00892425">
        <w:rPr>
          <w:rFonts w:ascii="Times New Roman" w:hAnsi="Times New Roman"/>
        </w:rPr>
        <w:t xml:space="preserve"> </w:t>
      </w:r>
      <w:r w:rsidR="002B13DE">
        <w:rPr>
          <w:rFonts w:ascii="Times New Roman" w:hAnsi="Times New Roman"/>
        </w:rPr>
        <w:t xml:space="preserve">with </w:t>
      </w:r>
      <w:r w:rsidR="002B13DE" w:rsidRPr="002B13DE">
        <w:rPr>
          <w:rFonts w:ascii="Times New Roman" w:hAnsi="Times New Roman"/>
          <w:i/>
          <w:iCs/>
        </w:rPr>
        <w:t>f</w:t>
      </w:r>
      <w:r w:rsidR="002B13DE" w:rsidRPr="002B13DE">
        <w:rPr>
          <w:rFonts w:ascii="Times New Roman" w:hAnsi="Times New Roman"/>
          <w:vertAlign w:val="subscript"/>
        </w:rPr>
        <w:t>O2</w:t>
      </w:r>
      <w:r w:rsidR="002B13DE">
        <w:rPr>
          <w:rFonts w:ascii="Times New Roman" w:hAnsi="Times New Roman"/>
        </w:rPr>
        <w:t xml:space="preserve"> documented by</w:t>
      </w:r>
      <w:r w:rsidR="00183CAA" w:rsidRPr="00892425">
        <w:rPr>
          <w:rFonts w:ascii="Times New Roman" w:hAnsi="Times New Roman"/>
        </w:rPr>
        <w:t xml:space="preserve"> previous experimental and </w:t>
      </w:r>
      <w:proofErr w:type="spellStart"/>
      <w:r w:rsidR="00183CAA" w:rsidRPr="00892425">
        <w:rPr>
          <w:rFonts w:ascii="Times New Roman" w:hAnsi="Times New Roman"/>
        </w:rPr>
        <w:t>modeling</w:t>
      </w:r>
      <w:proofErr w:type="spellEnd"/>
      <w:r w:rsidR="00183CAA" w:rsidRPr="00892425">
        <w:rPr>
          <w:rFonts w:ascii="Times New Roman" w:hAnsi="Times New Roman"/>
        </w:rPr>
        <w:t xml:space="preserve"> studies </w:t>
      </w:r>
      <w:r w:rsidR="00183CAA">
        <w:rPr>
          <w:rFonts w:ascii="Times New Roman" w:hAnsi="Times New Roman"/>
        </w:rPr>
        <w:fldChar w:fldCharType="begin" w:fldLock="1"/>
      </w:r>
      <w:r w:rsidR="0042431E">
        <w:rPr>
          <w:rFonts w:ascii="Times New Roman" w:hAnsi="Times New Roman"/>
        </w:rPr>
        <w:instrText>ADDIN CSL_CITATION {"citationItems":[{"id":"ITEM-1","itemData":{"author":[{"dropping-particle":"","family":"Carroll","given":"M.R.","non-dropping-particle":"","parse-names":false,"suffix":""},{"dropping-particle":"","family":"Rutherford","given":"M.J.","non-dropping-particle":"","parse-names":false,"suffix":""}],"container-title":"American Mineralogist","id":"ITEM-1","issued":{"date-parts":[["1998"]]},"page":"845-849","title":"Sulfur speciation in hydrous experimental glasses of varying oxidation state: Results from measured wavelength shifts of sulfur X-rays","type":"article-journal","volume":"73"},"uris":["http://www.mendeley.com/documents/?uuid=5f48676a-6bfd-480d-b3c6-1f4ed97fefa6"]},{"id":"ITEM-2","itemData":{"abstract":"S occurs in both oxidized (36* ) and reduced (S'z-) forms in natural silicate liquids. The wavelength ofSKa radiation changes as a function ofthe oxidation state ofS and can be used to determine the proportions of sulfide and sulfate in unknown samples by comparison with reference standards of a known valence state. We have measured the wavelength of SKa X-rays in a variety of glassy submarine lavas from spreading centers (Juan de Fuca, Gal6pagos, Kane, and Southeast Indian Ridge), seamounts (Loihi and Lamont seamounts), and back-arc basins (Lau Basin). The relative /o, values of these glasses are known from wet-chemical determinations of FeO and FerO. and vary from slightly above the Ni + NiO buffer (NNO) Io 3.2 log units below NNO. Measured values of sulfate/S,\", (56*/5.\",) vary from 0.02 to 0.25 and increase with increasing relative /o,. Our results demonstrate that the dissolved S in these samples occurs predominately as 52 . Large variations in HrO content have no measurable effect on the redox state of S, suggesting that HrS or HS- are not abundant S species in solution in silicate liquids. Thermodynamic calculations show that the speciation of S in coexisting gas during submarine eruptions of basaltic magma is also dependent on relative /o,. Many lavas from seamounts and backarc basins are predicted to have S present mainly as SO, in coexisting magmatic gas, whereas the lower f, of midocean ridge basalts favor HrS as the dominant form of gaseous S.","author":[{"dropping-particle":"","family":"Wallace","given":"Paul J.","non-dropping-particle":"","parse-names":false,"suffix":""},{"dropping-particle":"","family":"Carmichael","given":"Ian S.E.","non-dropping-particle":"","parse-names":false,"suffix":""}],"container-title":"American Mineralogist","id":"ITEM-2","issued":{"date-parts":[["1994"]]},"page":"161-167","title":"S speciation in submarine basaltic glasses as determined by measurements of SKa X-ray wavelength shifts","type":"article-journal","volume":"79"},"uris":["http://www.mendeley.com/documents/?uuid=6f7073a0-1482-4c8f-a978-f67c9b807c3c"]},{"id":"ITEM-3","itemData":{"DOI":"10.1180/002646199548510","ISSN":"0026-461X","abstract":"New data on sulphur valence and magmatic oxidation state for Central Andean volcanic rocks, in combination with published data for experimental and natural samples, allow derivation of a simple relationship between magma oxidation state and sulphur speciation. For a number of highly oxidized Central Andean volcanic rocks fO2 has been calculated using magnetite-ilmenite or olivine-spinel pairs and the sulphur valence in glasses has been measured using the peak shift of S-Kα radiation relative to a pyrite standard. Previously published experimental and natural data have been incorporated with a wider range in fO2 and S valence. The variation in sulphur speciation (as S2- or SO42-) as a function of log fO2 is described by an empirical polynomial fit which reproduces the data to within ±0.5 log units and allows use of electron microprobe measurements of the S-Kα wavelength shift for estimation of magmatic oxygen fugacities. This approach is applicable for fO2 between FMQ-2 and FMQ+6, encompassing most terrestrial magmas. The method has been used to calculate the in fO2 conditions under which melt inclusions were trapped in andesitic magmas before magma mixing in two Central Andean volcanoes, and to calculate the oxygen fugacity of a slowly-cooled pyroclastic flow in which the Fe-Ti oxide phases have subsequently re-equilibrated. In combination with Fe-Ti oxide data, two distinct trends emerge for Lascar volcano. Basaltic andesite-andesitic magma chambers follow T-fO2 trends which parallel the FMQ buffer curve, indicating ferrous-ferric iron buffering of oxygen fugacity. Dacitic anhydrite-bearing magmas with admixed basaltic andesite and andesite follow trends of increasing fO2 with decreasing temperature, indicative of buffering of fO2 by SO2-H2S in a co-magmatic gas phase. This trend continues into the metamorphic aureole of the magma chamber, resulting in highly oxidized (close to magnetite-hematite) conditions.","author":[{"dropping-particle":"","family":"Matthews","given":"S. J.","non-dropping-particle":"","parse-names":false,"suffix":""},{"dropping-particle":"","family":"Moncrieff","given":"D. H. S.","non-dropping-particle":"","parse-names":false,"suffix":""},{"dropping-particle":"","family":"Carroll","given":"M. R.","non-dropping-particle":"","parse-names":false,"suffix":""}],"container-title":"Mineralogical Magazine","id":"ITEM-3","issue":"3","issued":{"date-parts":[["1999"]]},"page":"421-431","publisher":"Cambridge University Press","title":"Empirical Calibration of the Sulphur Valence Oxygen Barometer from Natural and Experimental Glasses: Method and Applications","type":"article-journal","volume":"63"},"uris":["http://www.mendeley.com/documents/?uuid=33879b73-8b28-3447-bc86-2736eded53ee"]},{"id":"ITEM-4","itemData":{"DOI":"10.1016/J.GCA.2010.07.022","ISSN":"0016-7037","abstract":"XANES analyses at the sulfur K-edge were used to determine the oxidation state of S species in natural and synthetic basaltic glasses and to constrain the fO2 conditions for the transition from sulfide (S2−) to sulfate (S6+) in silicate melts. XANES spectra of basaltic samples from the Galapagos spreading center, the Juan de Fuca ridge and the Lau Basin showed a dominant broad peak at 2476.8eV, similar to the spectra obtained from synthetic sulfide-saturated basalts and pyrrhotite. An additional sharp peak at 2469.8eV, similar to that of crystalline sulfides, was present in synthetic glasses quenched from hydrous melts but absent in anhydrous glasses and may indicate differences in sulfide species with hydration or presence of minute sulfide inclusions exsolved during quenching. The XANES spectra of a basalt from the 1991 eruption of Mount Pinatubo, Philippines, and absarokitic basalts from the Cascades Range, Oregon, USA, showed a sharp peak at 2482.8eV, characteristic of synthetic sulfate-saturated basaltic glasses and crystalline sulfate-bearing minerals such as hauyne. Basaltic samples from the Lamont Seamount, the early submarine phase of Kilauea volcano and the Loihi Seamount showed unequivocal evidence of the coexistence of S2− and S6+ species, emphasizing the relevance of S6+ to these systems. XANES spectra of basaltic glasses synthesized in internally-heated pressure vessels and equilibrated at fO2 ranging from FMQ−1.4 to FMQ+2.7 showed systematic changes in the features related to S2− and S6+ with changes in fO2. No significant features related to sulfite (S4+) species were observed. These results were used to construct a function that allows estimates of S6+/ΣS from XANES data. Comparison of S6+/ΣS data obtained by S Kα shifts measured with electron probe microanalysis (EPMA), S6+/ΣS obtained from XANES spectra, and theoretical considerations show that data obtained from EPMA measurements underestimate S6+/ΣS in samples that are sulfate-dominated (most likely because of photo-reduction effects during analysis) whereas S6+/ΣS from XANES provide a close match to the expected theoretical values. The XANES-derived relationship for S6+/ΣS as a function of fO2 indicates that the transition from S2− to S6− with increasing fO2 occurs over a narrower interval than what is predicted by the EPMA-derived relationship. The implications for natural systems is that small variation of fO2 above FMQ+1 will have a large effect on S behavior in basaltic systems…","author":[{"dropping-particle":"","family":"Jugo","given":"Pedro J.","non-dropping-particle":"","parse-names":false,"suffix":""},{"dropping-particle":"","family":"Wilke","given":"Max","non-dropping-particle":"","parse-names":false,"suffix":""},{"dropping-particle":"","family":"Botcharnikov","given":"Roman E.","non-dropping-particle":"","parse-names":false,"suffix":""}],"container-title":"Geochimica et Cosmochimica Acta","id":"ITEM-4","issue":"20","issued":{"date-parts":[["2010","10","15"]]},"page":"5926-5938","publisher":"Pergamon","title":"Sulfur K-edge XANES analysis of natural and synthetic basaltic glasses: Implications for S speciation and S content as function of oxygen fugacity","type":"article-journal","volume":"74"},"uris":["http://www.mendeley.com/documents/?uuid=02e0a56a-5972-3895-873c-c073c73e7ebd"]},{"id":"ITEM-5","itemData":{"abstract":"The speciation of sulfur as a function of oxygen fugacity was calculated in glasses of basaltic composition saturated experimentally with either sulfide or sulfate phases. The experiments were conducted on mixtures of synthetic and natural materials equilibrated at 1300 °C and 1 GPa in a piston-cylinder apparatus. Sulfur speciation was calculated by measuring the peak shift of the sulfur K\u0001 radiation relative to a sulfide standard, whereas oxygen fugacity was calculated from the composition of olivine and spinel present in the assemblages. The results are consistent with sulfur being present as sulfite (S4\u0001) in addition to sulfate (S6\u0001) in oxidized melts. Therefore, sulfur speciation derived from SK\u0001 peak shifts should be seen as ”sulfate mole fraction equivalents“ (X(S6\u0001)eq.). Using the data available, an empiric function: X(S6)eq. 0.86 ⁄ (1 exp(2.89 \u0004 2.23\u0005FMQ)) relating sulfate mole fraction equivalents and oxygen fugacity was derived. This function can be approximated by a linear function: \u0005FMQ 2.28X(S6)eq. 0.32 which could be used as an independent oxybarometer over the range in which most of the change of speciation occurs (\u00010.8 \u0006 FMQ \u0006 \u00011.9).","author":[{"dropping-particle":"","family":"Jugo","given":"Pedro J.","non-dropping-particle":"","parse-names":false,"suffix":""},{"dropping-particle":"","family":"Luth","given":"Robert W.","non-dropping-particle":"","parse-names":false,"suffix":""},{"dropping-particle":"","family":"Richards","given":"Jeremy P.","non-dropping-particle":"","parse-names":false,"suffix":""}],"container-title":"Geochimica et Cosmochimica Acta","id":"ITEM-5","issue":"2","issued":{"date-parts":[["2005"]]},"page":"497-503","title":"Experimental data on the speciation of sulfur as a function of oxygen fugacity in basaltic melts","type":"article-journal","volume":"69"},"uris":["http://www.mendeley.com/documents/?uuid=eea4b62d-a6dd-4758-a278-eaa38f822b24"]}],"mendeley":{"formattedCitation":"(Carroll and Rutherford, 1998; Jugo et al., 2010, 2005; Matthews et al., 1999; Wallace and Carmichael, 1994)","manualFormatting":"(e.g., Wallace and Carmichael 1994; Carroll and Rutherford 1998; Matthews et al. 1999; Jugo et al. 2005, 2010)","plainTextFormattedCitation":"(Carroll and Rutherford, 1998; Jugo et al., 2010, 2005; Matthews et al., 1999; Wallace and Carmichael, 1994)","previouslyFormattedCitation":"(Carroll and Rutherford, 1998; Jugo et al., 2010, 2005; Matthews et al., 1999; Wallace and Carmichael, 1994)"},"properties":{"noteIndex":0},"schema":"https://github.com/citation-style-language/schema/raw/master/csl-citation.json"}</w:instrText>
      </w:r>
      <w:r w:rsidR="00183CAA">
        <w:rPr>
          <w:rFonts w:ascii="Times New Roman" w:hAnsi="Times New Roman"/>
        </w:rPr>
        <w:fldChar w:fldCharType="separate"/>
      </w:r>
      <w:r w:rsidR="00183CAA" w:rsidRPr="002E11B1">
        <w:rPr>
          <w:rFonts w:ascii="Times New Roman" w:hAnsi="Times New Roman"/>
          <w:noProof/>
        </w:rPr>
        <w:t>(</w:t>
      </w:r>
      <w:r w:rsidR="00183CAA">
        <w:rPr>
          <w:rFonts w:ascii="Times New Roman" w:hAnsi="Times New Roman"/>
          <w:noProof/>
        </w:rPr>
        <w:t xml:space="preserve">e.g., </w:t>
      </w:r>
      <w:r w:rsidR="00183CAA" w:rsidRPr="002E11B1">
        <w:rPr>
          <w:rFonts w:ascii="Times New Roman" w:hAnsi="Times New Roman"/>
          <w:noProof/>
        </w:rPr>
        <w:t xml:space="preserve">Wallace and Carmichael 1994; Carroll and Rutherford 1998; Matthews </w:t>
      </w:r>
      <w:r w:rsidR="00183CAA" w:rsidRPr="002E11B1">
        <w:rPr>
          <w:rFonts w:ascii="Times New Roman" w:hAnsi="Times New Roman"/>
          <w:i/>
          <w:noProof/>
        </w:rPr>
        <w:t>et al.</w:t>
      </w:r>
      <w:r w:rsidR="00183CAA" w:rsidRPr="002E11B1">
        <w:rPr>
          <w:rFonts w:ascii="Times New Roman" w:hAnsi="Times New Roman"/>
          <w:noProof/>
        </w:rPr>
        <w:t xml:space="preserve"> 1999; Jugo </w:t>
      </w:r>
      <w:r w:rsidR="00183CAA" w:rsidRPr="002E11B1">
        <w:rPr>
          <w:rFonts w:ascii="Times New Roman" w:hAnsi="Times New Roman"/>
          <w:i/>
          <w:noProof/>
        </w:rPr>
        <w:t>et al.</w:t>
      </w:r>
      <w:r w:rsidR="00183CAA" w:rsidRPr="002E11B1">
        <w:rPr>
          <w:rFonts w:ascii="Times New Roman" w:hAnsi="Times New Roman"/>
          <w:noProof/>
        </w:rPr>
        <w:t xml:space="preserve"> 2005, 2010)</w:t>
      </w:r>
      <w:r w:rsidR="00183CAA">
        <w:rPr>
          <w:rFonts w:ascii="Times New Roman" w:hAnsi="Times New Roman"/>
        </w:rPr>
        <w:fldChar w:fldCharType="end"/>
      </w:r>
      <w:r w:rsidR="00183CAA" w:rsidRPr="00892425">
        <w:rPr>
          <w:rFonts w:ascii="Times New Roman" w:hAnsi="Times New Roman"/>
        </w:rPr>
        <w:t xml:space="preserve">. </w:t>
      </w:r>
    </w:p>
    <w:p w14:paraId="14D3837C" w14:textId="310F4892" w:rsidR="0007365C" w:rsidRDefault="0007365C" w:rsidP="0007365C">
      <w:pPr>
        <w:keepNext/>
      </w:pPr>
      <w:r w:rsidRPr="00AB1CE0">
        <w:rPr>
          <w:rFonts w:ascii="Times New Roman" w:hAnsi="Times New Roman"/>
          <w:noProof/>
        </w:rPr>
        <w:lastRenderedPageBreak/>
        <w:drawing>
          <wp:inline distT="0" distB="0" distL="0" distR="0" wp14:anchorId="5C18E545" wp14:editId="42206294">
            <wp:extent cx="5731200" cy="4988828"/>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257" t="8058" r="6838" b="4015"/>
                    <a:stretch/>
                  </pic:blipFill>
                  <pic:spPr bwMode="auto">
                    <a:xfrm>
                      <a:off x="0" y="0"/>
                      <a:ext cx="5731200" cy="4988828"/>
                    </a:xfrm>
                    <a:prstGeom prst="rect">
                      <a:avLst/>
                    </a:prstGeom>
                    <a:ln>
                      <a:noFill/>
                    </a:ln>
                    <a:extLst>
                      <a:ext uri="{53640926-AAD7-44D8-BBD7-CCE9431645EC}">
                        <a14:shadowObscured xmlns:a14="http://schemas.microsoft.com/office/drawing/2010/main"/>
                      </a:ext>
                    </a:extLst>
                  </pic:spPr>
                </pic:pic>
              </a:graphicData>
            </a:graphic>
          </wp:inline>
        </w:drawing>
      </w:r>
    </w:p>
    <w:p w14:paraId="1C481828" w14:textId="0FDCCA99" w:rsidR="0007365C" w:rsidRPr="0007365C" w:rsidRDefault="0007365C" w:rsidP="0007365C">
      <w:pPr>
        <w:pStyle w:val="Caption"/>
        <w:ind w:firstLine="0"/>
        <w:rPr>
          <w:rFonts w:ascii="Times New Roman" w:hAnsi="Times New Roman"/>
          <w:color w:val="000000" w:themeColor="text1"/>
          <w:sz w:val="24"/>
          <w:szCs w:val="24"/>
        </w:rPr>
      </w:pPr>
      <w:bookmarkStart w:id="28" w:name="_Ref127448317"/>
      <w:r w:rsidRPr="0007365C">
        <w:rPr>
          <w:color w:val="000000" w:themeColor="text1"/>
          <w:sz w:val="24"/>
          <w:szCs w:val="24"/>
        </w:rPr>
        <w:t xml:space="preserve">Figure </w:t>
      </w:r>
      <w:r>
        <w:rPr>
          <w:color w:val="000000" w:themeColor="text1"/>
          <w:sz w:val="24"/>
          <w:szCs w:val="24"/>
        </w:rPr>
        <w:t>S</w:t>
      </w:r>
      <w:r w:rsidRPr="0007365C">
        <w:rPr>
          <w:color w:val="000000" w:themeColor="text1"/>
          <w:sz w:val="24"/>
          <w:szCs w:val="24"/>
        </w:rPr>
        <w:fldChar w:fldCharType="begin"/>
      </w:r>
      <w:r w:rsidRPr="0007365C">
        <w:rPr>
          <w:color w:val="000000" w:themeColor="text1"/>
          <w:sz w:val="24"/>
          <w:szCs w:val="24"/>
        </w:rPr>
        <w:instrText xml:space="preserve"> SEQ Figure \* ARABIC </w:instrText>
      </w:r>
      <w:r w:rsidRPr="0007365C">
        <w:rPr>
          <w:color w:val="000000" w:themeColor="text1"/>
          <w:sz w:val="24"/>
          <w:szCs w:val="24"/>
        </w:rPr>
        <w:fldChar w:fldCharType="separate"/>
      </w:r>
      <w:r w:rsidR="009E5695">
        <w:rPr>
          <w:noProof/>
          <w:color w:val="000000" w:themeColor="text1"/>
          <w:sz w:val="24"/>
          <w:szCs w:val="24"/>
        </w:rPr>
        <w:t>13</w:t>
      </w:r>
      <w:r w:rsidRPr="0007365C">
        <w:rPr>
          <w:color w:val="000000" w:themeColor="text1"/>
          <w:sz w:val="24"/>
          <w:szCs w:val="24"/>
        </w:rPr>
        <w:fldChar w:fldCharType="end"/>
      </w:r>
      <w:bookmarkEnd w:id="28"/>
      <w:r w:rsidRPr="0007365C">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 xml:space="preserve">Calculated values of </w:t>
      </w:r>
      <w:r w:rsidRPr="00892425">
        <w:rPr>
          <w:rFonts w:ascii="Times New Roman" w:hAnsi="Times New Roman"/>
          <w:color w:val="000000" w:themeColor="text1"/>
          <w:sz w:val="24"/>
          <w:szCs w:val="24"/>
        </w:rPr>
        <w:t>p</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 xml:space="preserve">’s (top row), species fraction in the melt (middle row), and </w:t>
      </w:r>
      <w:proofErr w:type="spellStart"/>
      <w:r w:rsidRPr="00892425">
        <w:rPr>
          <w:rFonts w:ascii="Times New Roman" w:hAnsi="Times New Roman"/>
          <w:color w:val="000000" w:themeColor="text1"/>
          <w:sz w:val="24"/>
          <w:szCs w:val="24"/>
        </w:rPr>
        <w:t>x</w:t>
      </w:r>
      <w:r w:rsidRPr="00892425">
        <w:rPr>
          <w:rFonts w:ascii="Times New Roman" w:hAnsi="Times New Roman"/>
          <w:color w:val="000000" w:themeColor="text1"/>
          <w:sz w:val="24"/>
          <w:szCs w:val="24"/>
          <w:vertAlign w:val="superscript"/>
        </w:rPr>
        <w:t>v</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’s</w:t>
      </w:r>
      <w:proofErr w:type="spellEnd"/>
      <w:r w:rsidRPr="00892425">
        <w:rPr>
          <w:rFonts w:ascii="Times New Roman" w:hAnsi="Times New Roman"/>
          <w:i w:val="0"/>
          <w:iCs w:val="0"/>
          <w:color w:val="000000" w:themeColor="text1"/>
          <w:sz w:val="24"/>
          <w:szCs w:val="24"/>
        </w:rPr>
        <w:t xml:space="preserve"> (bottom row) vs. log</w:t>
      </w:r>
      <w:r w:rsidRPr="00892425">
        <w:rPr>
          <w:rFonts w:ascii="Times New Roman" w:hAnsi="Times New Roman"/>
          <w:i w:val="0"/>
          <w:iCs w:val="0"/>
          <w:color w:val="000000" w:themeColor="text1"/>
          <w:sz w:val="24"/>
          <w:szCs w:val="24"/>
          <w:vertAlign w:val="subscript"/>
        </w:rPr>
        <w:t>10</w:t>
      </w:r>
      <w:r w:rsidRPr="00892425">
        <w:rPr>
          <w:rFonts w:ascii="Times New Roman" w:hAnsi="Times New Roman"/>
          <w:i w:val="0"/>
          <w:iCs w:val="0"/>
          <w:color w:val="000000" w:themeColor="text1"/>
          <w:sz w:val="24"/>
          <w:szCs w:val="24"/>
        </w:rPr>
        <w:t>(</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for cases 1</w:t>
      </w:r>
      <w:r>
        <w:rPr>
          <w:rFonts w:ascii="Times New Roman" w:hAnsi="Times New Roman"/>
          <w:i w:val="0"/>
          <w:iCs w:val="0"/>
          <w:color w:val="000000" w:themeColor="text1"/>
          <w:sz w:val="24"/>
          <w:szCs w:val="24"/>
        </w:rPr>
        <w:t xml:space="preserve"> (oxidised C-O-H only), 3 (full C-O-H-S), and 3’ (H</w:t>
      </w:r>
      <w:r w:rsidRPr="0007365C">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S</w:t>
      </w:r>
      <w:r w:rsidRPr="0007365C">
        <w:rPr>
          <w:rFonts w:ascii="Times New Roman" w:hAnsi="Times New Roman"/>
          <w:i w:val="0"/>
          <w:iCs w:val="0"/>
          <w:color w:val="000000" w:themeColor="text1"/>
          <w:sz w:val="24"/>
          <w:szCs w:val="24"/>
          <w:vertAlign w:val="subscript"/>
        </w:rPr>
        <w:t>mol</w:t>
      </w:r>
      <w:r>
        <w:rPr>
          <w:rFonts w:ascii="Times New Roman" w:hAnsi="Times New Roman"/>
          <w:i w:val="0"/>
          <w:iCs w:val="0"/>
          <w:color w:val="000000" w:themeColor="text1"/>
          <w:sz w:val="24"/>
          <w:szCs w:val="24"/>
        </w:rPr>
        <w:t xml:space="preserve"> insoluble)</w:t>
      </w:r>
      <w:r w:rsidRPr="00892425">
        <w:rPr>
          <w:rFonts w:ascii="Times New Roman" w:hAnsi="Times New Roman"/>
          <w:i w:val="0"/>
          <w:iCs w:val="0"/>
          <w:color w:val="000000" w:themeColor="text1"/>
          <w:sz w:val="24"/>
          <w:szCs w:val="24"/>
        </w:rPr>
        <w:t xml:space="preserve"> discussed in the text. All calculations are for </w:t>
      </w:r>
      <w:r>
        <w:rPr>
          <w:rFonts w:ascii="Times New Roman" w:hAnsi="Times New Roman"/>
          <w:i w:val="0"/>
          <w:iCs w:val="0"/>
          <w:color w:val="000000" w:themeColor="text1"/>
          <w:sz w:val="24"/>
          <w:szCs w:val="24"/>
        </w:rPr>
        <w:t xml:space="preserve">a Hawaiian tholeiitic </w:t>
      </w:r>
      <w:r w:rsidRPr="00892425">
        <w:rPr>
          <w:rFonts w:ascii="Times New Roman" w:hAnsi="Times New Roman"/>
          <w:i w:val="0"/>
          <w:iCs w:val="0"/>
          <w:color w:val="000000" w:themeColor="text1"/>
          <w:sz w:val="24"/>
          <w:szCs w:val="24"/>
        </w:rPr>
        <w:t>melt</w:t>
      </w:r>
      <w:r>
        <w:rPr>
          <w:rFonts w:ascii="Times New Roman" w:hAnsi="Times New Roman"/>
          <w:i w:val="0"/>
          <w:iCs w:val="0"/>
          <w:color w:val="000000" w:themeColor="text1"/>
          <w:sz w:val="24"/>
          <w:szCs w:val="24"/>
        </w:rPr>
        <w:t xml:space="preserve"> at 1200 </w:t>
      </w:r>
      <w:r w:rsidRPr="00723CE1">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 xml:space="preserve"> with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O-eq = 3 </w:t>
      </w:r>
      <w:proofErr w:type="spellStart"/>
      <w:r w:rsidRPr="00892425">
        <w:rPr>
          <w:rFonts w:ascii="Times New Roman" w:hAnsi="Times New Roman"/>
          <w:i w:val="0"/>
          <w:iCs w:val="0"/>
          <w:color w:val="000000" w:themeColor="text1"/>
          <w:sz w:val="24"/>
          <w:szCs w:val="24"/>
        </w:rPr>
        <w:t>wt</w:t>
      </w:r>
      <w:proofErr w:type="spellEnd"/>
      <w:r w:rsidRPr="00892425">
        <w:rPr>
          <w:rFonts w:ascii="Times New Roman" w:hAnsi="Times New Roman"/>
          <w:i w:val="0"/>
          <w:iCs w:val="0"/>
          <w:color w:val="000000" w:themeColor="text1"/>
          <w:sz w:val="24"/>
          <w:szCs w:val="24"/>
        </w:rPr>
        <w:t>%, 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-eq = 1000 ppm, and S-</w:t>
      </w:r>
      <w:proofErr w:type="spellStart"/>
      <w:r w:rsidRPr="00892425">
        <w:rPr>
          <w:rFonts w:ascii="Times New Roman" w:hAnsi="Times New Roman"/>
          <w:i w:val="0"/>
          <w:iCs w:val="0"/>
          <w:color w:val="000000" w:themeColor="text1"/>
          <w:sz w:val="24"/>
          <w:szCs w:val="24"/>
        </w:rPr>
        <w:t>eq</w:t>
      </w:r>
      <w:proofErr w:type="spellEnd"/>
      <w:r w:rsidRPr="00892425">
        <w:rPr>
          <w:rFonts w:ascii="Times New Roman" w:hAnsi="Times New Roman"/>
          <w:i w:val="0"/>
          <w:iCs w:val="0"/>
          <w:color w:val="000000" w:themeColor="text1"/>
          <w:sz w:val="24"/>
          <w:szCs w:val="24"/>
        </w:rPr>
        <w:t xml:space="preserve"> = 1000 ppm. The red curves are for H-bearing species (including CH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but not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S); blue curves for C-bearing species (including OCS, but not CH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and yellow curves </w:t>
      </w:r>
      <w:r>
        <w:rPr>
          <w:rFonts w:ascii="Times New Roman" w:hAnsi="Times New Roman"/>
          <w:i w:val="0"/>
          <w:iCs w:val="0"/>
          <w:color w:val="000000" w:themeColor="text1"/>
          <w:sz w:val="24"/>
          <w:szCs w:val="24"/>
        </w:rPr>
        <w:t>are</w:t>
      </w:r>
      <w:r w:rsidRPr="00892425">
        <w:rPr>
          <w:rFonts w:ascii="Times New Roman" w:hAnsi="Times New Roman"/>
          <w:i w:val="0"/>
          <w:iCs w:val="0"/>
          <w:color w:val="000000" w:themeColor="text1"/>
          <w:sz w:val="24"/>
          <w:szCs w:val="24"/>
        </w:rPr>
        <w:t xml:space="preserve"> for S-bearing species (including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S, but not OCS). Results for case 1 (indicated by a superscript circle, °) are shown for reference in (</w:t>
      </w:r>
      <w:r w:rsidRPr="00892425">
        <w:rPr>
          <w:rFonts w:ascii="Times New Roman" w:hAnsi="Times New Roman"/>
          <w:b/>
          <w:bCs/>
          <w:i w:val="0"/>
          <w:iCs w:val="0"/>
          <w:color w:val="000000" w:themeColor="text1"/>
          <w:sz w:val="24"/>
          <w:szCs w:val="24"/>
        </w:rPr>
        <w:t>a</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b</w:t>
      </w:r>
      <w:r w:rsidRPr="00892425">
        <w:rPr>
          <w:rFonts w:ascii="Times New Roman" w:hAnsi="Times New Roman"/>
          <w:i w:val="0"/>
          <w:iCs w:val="0"/>
          <w:color w:val="000000" w:themeColor="text1"/>
          <w:sz w:val="24"/>
          <w:szCs w:val="24"/>
        </w:rPr>
        <w:t>) and (</w:t>
      </w:r>
      <w:r>
        <w:rPr>
          <w:rFonts w:ascii="Times New Roman" w:hAnsi="Times New Roman"/>
          <w:b/>
          <w:bCs/>
          <w:i w:val="0"/>
          <w:iCs w:val="0"/>
          <w:color w:val="000000" w:themeColor="text1"/>
          <w:sz w:val="24"/>
          <w:szCs w:val="24"/>
        </w:rPr>
        <w:t>e</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f</w:t>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H</w:t>
      </w:r>
      <w:r w:rsidRPr="00D968B6">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rPr>
        <w:t xml:space="preserve"> is a dashed horizontal black line and </w:t>
      </w:r>
      <w:r>
        <w:rPr>
          <w:rFonts w:ascii="Times New Roman" w:hAnsi="Times New Roman"/>
          <w:i w:val="0"/>
          <w:iCs w:val="0"/>
          <w:color w:val="000000" w:themeColor="text1"/>
          <w:sz w:val="24"/>
          <w:szCs w:val="24"/>
        </w:rPr>
        <w:t>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is a dotted horizontal black line. For melt speciation in (</w:t>
      </w:r>
      <w:r>
        <w:rPr>
          <w:rFonts w:ascii="Times New Roman" w:hAnsi="Times New Roman"/>
          <w:b/>
          <w:bCs/>
          <w:i w:val="0"/>
          <w:iCs w:val="0"/>
          <w:color w:val="000000" w:themeColor="text1"/>
          <w:sz w:val="24"/>
          <w:szCs w:val="24"/>
        </w:rPr>
        <w:t>c</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d</w:t>
      </w:r>
      <w:r w:rsidRPr="00892425">
        <w:rPr>
          <w:rFonts w:ascii="Times New Roman" w:hAnsi="Times New Roman"/>
          <w:i w:val="0"/>
          <w:iCs w:val="0"/>
          <w:color w:val="000000" w:themeColor="text1"/>
          <w:sz w:val="24"/>
          <w:szCs w:val="24"/>
        </w:rPr>
        <w:t>), the blue curves show the fractions of C in different C-bearing species as a fraction total C in the melt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 solid,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 xml:space="preserve">O = dash, </w:t>
      </w:r>
      <w:r w:rsidRPr="00D968B6">
        <w:rPr>
          <w:rFonts w:ascii="Times New Roman" w:hAnsi="Times New Roman"/>
          <w:i w:val="0"/>
          <w:iCs w:val="0"/>
          <w:color w:val="000000" w:themeColor="text1"/>
          <w:sz w:val="24"/>
          <w:szCs w:val="24"/>
        </w:rPr>
        <w:t>C</w:t>
      </w:r>
      <w:r w:rsidRPr="00892425">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 dot), and these fractions sum to one. The red curves show the fractions of H in different H-bearing species as a fraction total H in the melt (</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T</w:t>
      </w:r>
      <w:r w:rsidRPr="00892425">
        <w:rPr>
          <w:rFonts w:ascii="Times New Roman" w:hAnsi="Times New Roman"/>
          <w:i w:val="0"/>
          <w:iCs w:val="0"/>
          <w:color w:val="000000" w:themeColor="text1"/>
          <w:sz w:val="24"/>
          <w:szCs w:val="24"/>
        </w:rPr>
        <w:t xml:space="preserve"> = solid, </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 = dash, C</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rPr>
        <w:t xml:space="preserve"> = dot, </w:t>
      </w:r>
      <w:r w:rsidRPr="00D968B6">
        <w:rPr>
          <w:rFonts w:ascii="Times New Roman" w:hAnsi="Times New Roman"/>
          <w:i w:val="0"/>
          <w:iCs w:val="0"/>
          <w:color w:val="000000" w:themeColor="text1"/>
          <w:sz w:val="24"/>
          <w:szCs w:val="24"/>
        </w:rPr>
        <w:t>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S = dot-dash), which also sum to one. The yellow curves show the fractions of S in different S-bearing species as a fraction total S in the melt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solid,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dash, H</w:t>
      </w:r>
      <w:r w:rsidRPr="00892425">
        <w:rPr>
          <w:rFonts w:ascii="Times New Roman" w:hAnsi="Times New Roman"/>
          <w:i w:val="0"/>
          <w:iCs w:val="0"/>
          <w:color w:val="000000" w:themeColor="text1"/>
          <w:sz w:val="24"/>
          <w:szCs w:val="24"/>
          <w:vertAlign w:val="subscript"/>
        </w:rPr>
        <w:t>2</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 xml:space="preserve"> = dot-dash,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vertAlign w:val="subscript"/>
        </w:rPr>
        <w:t>T</w:t>
      </w:r>
      <w:r w:rsidRPr="00892425">
        <w:rPr>
          <w:rFonts w:ascii="Times New Roman" w:hAnsi="Times New Roman"/>
          <w:i w:val="0"/>
          <w:iCs w:val="0"/>
          <w:color w:val="000000" w:themeColor="text1"/>
          <w:sz w:val="24"/>
          <w:szCs w:val="24"/>
        </w:rPr>
        <w:t xml:space="preserve"> =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H</w:t>
      </w:r>
      <w:r w:rsidRPr="00892425">
        <w:rPr>
          <w:rFonts w:ascii="Times New Roman" w:hAnsi="Times New Roman"/>
          <w:i w:val="0"/>
          <w:iCs w:val="0"/>
          <w:color w:val="000000" w:themeColor="text1"/>
          <w:sz w:val="24"/>
          <w:szCs w:val="24"/>
          <w:vertAlign w:val="subscript"/>
        </w:rPr>
        <w:t>2</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 xml:space="preserve"> = dot). For the S-bearing melt species shown in (</w:t>
      </w:r>
      <w:r>
        <w:rPr>
          <w:rFonts w:ascii="Times New Roman" w:hAnsi="Times New Roman"/>
          <w:b/>
          <w:bCs/>
          <w:i w:val="0"/>
          <w:iCs w:val="0"/>
          <w:color w:val="000000" w:themeColor="text1"/>
          <w:sz w:val="24"/>
          <w:szCs w:val="24"/>
        </w:rPr>
        <w:t>c</w:t>
      </w:r>
      <w:r w:rsidRPr="00892425">
        <w:rPr>
          <w:rFonts w:ascii="Times New Roman" w:hAnsi="Times New Roman"/>
          <w:i w:val="0"/>
          <w:iCs w:val="0"/>
          <w:color w:val="000000" w:themeColor="text1"/>
          <w:sz w:val="24"/>
          <w:szCs w:val="24"/>
        </w:rPr>
        <w:t>), both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H</w:t>
      </w:r>
      <w:r w:rsidRPr="00892425">
        <w:rPr>
          <w:rFonts w:ascii="Times New Roman" w:hAnsi="Times New Roman"/>
          <w:i w:val="0"/>
          <w:iCs w:val="0"/>
          <w:color w:val="000000" w:themeColor="text1"/>
          <w:sz w:val="24"/>
          <w:szCs w:val="24"/>
          <w:vertAlign w:val="subscript"/>
        </w:rPr>
        <w:t>2</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 and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rPr>
        <w:t>O</w:t>
      </w:r>
      <w:r w:rsidRPr="00892425">
        <w:rPr>
          <w:rFonts w:ascii="Times New Roman" w:hAnsi="Times New Roman"/>
          <w:i w:val="0"/>
          <w:iCs w:val="0"/>
          <w:color w:val="000000" w:themeColor="text1"/>
          <w:sz w:val="24"/>
          <w:szCs w:val="24"/>
          <w:vertAlign w:val="subscript"/>
        </w:rPr>
        <w:t>4</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rPr>
        <w:t xml:space="preserve"> + </w:t>
      </w:r>
      <w:r w:rsidRPr="00D968B6">
        <w:rPr>
          <w:rFonts w:ascii="Times New Roman" w:hAnsi="Times New Roman"/>
          <w:i w:val="0"/>
          <w:iCs w:val="0"/>
          <w:color w:val="000000" w:themeColor="text1"/>
          <w:sz w:val="24"/>
          <w:szCs w:val="24"/>
        </w:rPr>
        <w:t>S</w:t>
      </w:r>
      <w:r w:rsidRPr="00892425">
        <w:rPr>
          <w:rFonts w:ascii="Times New Roman" w:hAnsi="Times New Roman"/>
          <w:i w:val="0"/>
          <w:iCs w:val="0"/>
          <w:color w:val="000000" w:themeColor="text1"/>
          <w:sz w:val="24"/>
          <w:szCs w:val="24"/>
          <w:vertAlign w:val="superscript"/>
        </w:rPr>
        <w:t>2-</w:t>
      </w:r>
      <w:r w:rsidRPr="00892425">
        <w:rPr>
          <w:rFonts w:ascii="Times New Roman" w:hAnsi="Times New Roman"/>
          <w:i w:val="0"/>
          <w:iCs w:val="0"/>
          <w:color w:val="000000" w:themeColor="text1"/>
          <w:sz w:val="24"/>
          <w:szCs w:val="24"/>
          <w:vertAlign w:val="subscript"/>
        </w:rPr>
        <w:t>T</w:t>
      </w:r>
      <w:r w:rsidRPr="00892425">
        <w:rPr>
          <w:rFonts w:ascii="Times New Roman" w:hAnsi="Times New Roman"/>
          <w:i w:val="0"/>
          <w:iCs w:val="0"/>
          <w:color w:val="000000" w:themeColor="text1"/>
          <w:sz w:val="24"/>
          <w:szCs w:val="24"/>
        </w:rPr>
        <w:t>] equal one. For the vapor speciation in (</w:t>
      </w:r>
      <w:r>
        <w:rPr>
          <w:rFonts w:ascii="Times New Roman" w:hAnsi="Times New Roman"/>
          <w:b/>
          <w:bCs/>
          <w:i w:val="0"/>
          <w:iCs w:val="0"/>
          <w:color w:val="000000" w:themeColor="text1"/>
          <w:sz w:val="24"/>
          <w:szCs w:val="24"/>
        </w:rPr>
        <w:t>e</w:t>
      </w:r>
      <w:r w:rsidRPr="00892425">
        <w:rPr>
          <w:rFonts w:ascii="Times New Roman" w:hAnsi="Times New Roman"/>
          <w:i w:val="0"/>
          <w:iCs w:val="0"/>
          <w:color w:val="000000" w:themeColor="text1"/>
          <w:sz w:val="24"/>
          <w:szCs w:val="24"/>
        </w:rPr>
        <w:t>–</w:t>
      </w:r>
      <w:r>
        <w:rPr>
          <w:rFonts w:ascii="Times New Roman" w:hAnsi="Times New Roman"/>
          <w:b/>
          <w:bCs/>
          <w:i w:val="0"/>
          <w:iCs w:val="0"/>
          <w:color w:val="000000" w:themeColor="text1"/>
          <w:sz w:val="24"/>
          <w:szCs w:val="24"/>
        </w:rPr>
        <w:t>f</w:t>
      </w:r>
      <w:r w:rsidRPr="00892425">
        <w:rPr>
          <w:rFonts w:ascii="Times New Roman" w:hAnsi="Times New Roman"/>
          <w:i w:val="0"/>
          <w:iCs w:val="0"/>
          <w:color w:val="000000" w:themeColor="text1"/>
          <w:sz w:val="24"/>
          <w:szCs w:val="24"/>
        </w:rPr>
        <w:t xml:space="preserve">), the sum of all coloured curves is one at any given </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xml:space="preserve">, and likewise for the horizontal black reference lines representing case 1. The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i</w:t>
      </w:r>
      <w:r w:rsidRPr="00892425">
        <w:rPr>
          <w:rFonts w:ascii="Times New Roman" w:hAnsi="Times New Roman"/>
          <w:i w:val="0"/>
          <w:iCs w:val="0"/>
          <w:color w:val="000000" w:themeColor="text1"/>
          <w:sz w:val="24"/>
          <w:szCs w:val="24"/>
        </w:rPr>
        <w:t xml:space="preserve">’s and </w:t>
      </w:r>
      <w:proofErr w:type="spellStart"/>
      <w:r w:rsidRPr="00892425">
        <w:rPr>
          <w:rFonts w:ascii="Times New Roman" w:hAnsi="Times New Roman"/>
          <w:color w:val="000000" w:themeColor="text1"/>
          <w:sz w:val="24"/>
          <w:szCs w:val="24"/>
        </w:rPr>
        <w:t>x</w:t>
      </w:r>
      <w:r w:rsidRPr="00892425">
        <w:rPr>
          <w:rFonts w:ascii="Times New Roman" w:hAnsi="Times New Roman"/>
          <w:color w:val="000000" w:themeColor="text1"/>
          <w:sz w:val="24"/>
          <w:szCs w:val="24"/>
          <w:vertAlign w:val="superscript"/>
        </w:rPr>
        <w:t>v</w:t>
      </w:r>
      <w:r w:rsidRPr="00892425">
        <w:rPr>
          <w:rFonts w:ascii="Times New Roman" w:hAnsi="Times New Roman"/>
          <w:color w:val="000000" w:themeColor="text1"/>
          <w:sz w:val="24"/>
          <w:szCs w:val="24"/>
          <w:vertAlign w:val="subscript"/>
        </w:rPr>
        <w:t>i</w:t>
      </w:r>
      <w:r w:rsidRPr="00892425">
        <w:rPr>
          <w:rFonts w:ascii="Times New Roman" w:hAnsi="Times New Roman"/>
          <w:i w:val="0"/>
          <w:iCs w:val="0"/>
          <w:color w:val="000000" w:themeColor="text1"/>
          <w:sz w:val="24"/>
          <w:szCs w:val="24"/>
        </w:rPr>
        <w:t>’s</w:t>
      </w:r>
      <w:proofErr w:type="spellEnd"/>
      <w:r w:rsidRPr="00892425">
        <w:rPr>
          <w:rFonts w:ascii="Times New Roman" w:hAnsi="Times New Roman"/>
          <w:i w:val="0"/>
          <w:iCs w:val="0"/>
          <w:color w:val="000000" w:themeColor="text1"/>
          <w:sz w:val="24"/>
          <w:szCs w:val="24"/>
        </w:rPr>
        <w:t xml:space="preserve"> of </w:t>
      </w:r>
      <w:r>
        <w:rPr>
          <w:rFonts w:ascii="Times New Roman" w:hAnsi="Times New Roman"/>
          <w:i w:val="0"/>
          <w:iCs w:val="0"/>
          <w:color w:val="000000" w:themeColor="text1"/>
          <w:sz w:val="24"/>
          <w:szCs w:val="24"/>
        </w:rPr>
        <w:t>S</w:t>
      </w:r>
      <w:r w:rsidRPr="000B6300">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 H</w:t>
      </w:r>
      <w:r w:rsidRPr="00D968B6">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S, and OCS</w:t>
      </w:r>
      <w:r w:rsidRPr="00892425">
        <w:rPr>
          <w:rFonts w:ascii="Times New Roman" w:hAnsi="Times New Roman"/>
          <w:i w:val="0"/>
          <w:iCs w:val="0"/>
          <w:color w:val="000000" w:themeColor="text1"/>
          <w:sz w:val="24"/>
          <w:szCs w:val="24"/>
        </w:rPr>
        <w:t xml:space="preserve"> in (</w:t>
      </w:r>
      <w:proofErr w:type="spellStart"/>
      <w:proofErr w:type="gramStart"/>
      <w:r>
        <w:rPr>
          <w:rFonts w:ascii="Times New Roman" w:hAnsi="Times New Roman"/>
          <w:b/>
          <w:bCs/>
          <w:i w:val="0"/>
          <w:iCs w:val="0"/>
          <w:color w:val="000000" w:themeColor="text1"/>
          <w:sz w:val="24"/>
          <w:szCs w:val="24"/>
        </w:rPr>
        <w:t>a,b</w:t>
      </w:r>
      <w:proofErr w:type="gramEnd"/>
      <w:r>
        <w:rPr>
          <w:rFonts w:ascii="Times New Roman" w:hAnsi="Times New Roman"/>
          <w:b/>
          <w:bCs/>
          <w:i w:val="0"/>
          <w:iCs w:val="0"/>
          <w:color w:val="000000" w:themeColor="text1"/>
          <w:sz w:val="24"/>
          <w:szCs w:val="24"/>
        </w:rPr>
        <w:t>,e,</w:t>
      </w:r>
      <w:r>
        <w:rPr>
          <w:rFonts w:ascii="Times New Roman" w:hAnsi="Times New Roman"/>
          <w:i w:val="0"/>
          <w:iCs w:val="0"/>
          <w:color w:val="000000" w:themeColor="text1"/>
          <w:sz w:val="24"/>
          <w:szCs w:val="24"/>
        </w:rPr>
        <w:t>f</w:t>
      </w:r>
      <w:proofErr w:type="spellEnd"/>
      <w:r w:rsidRPr="00892425">
        <w:rPr>
          <w:rFonts w:ascii="Times New Roman" w:hAnsi="Times New Roman"/>
          <w:i w:val="0"/>
          <w:iCs w:val="0"/>
          <w:color w:val="000000" w:themeColor="text1"/>
          <w:sz w:val="24"/>
          <w:szCs w:val="24"/>
        </w:rPr>
        <w:t>) are always near zero (i.e., close to the x-axis) on this scale</w:t>
      </w:r>
      <w:r w:rsidR="009644FA">
        <w:rPr>
          <w:rFonts w:ascii="Times New Roman" w:hAnsi="Times New Roman"/>
          <w:i w:val="0"/>
          <w:iCs w:val="0"/>
          <w:color w:val="000000" w:themeColor="text1"/>
          <w:sz w:val="24"/>
          <w:szCs w:val="24"/>
        </w:rPr>
        <w:t xml:space="preserve"> – a zoom in is shown </w:t>
      </w:r>
      <w:r w:rsidR="009644FA" w:rsidRPr="00147AF9">
        <w:rPr>
          <w:rFonts w:ascii="Times New Roman" w:hAnsi="Times New Roman" w:cs="Times New Roman"/>
          <w:i w:val="0"/>
          <w:iCs w:val="0"/>
        </w:rPr>
        <w:fldChar w:fldCharType="begin"/>
      </w:r>
      <w:r w:rsidR="009644FA" w:rsidRPr="00147AF9">
        <w:rPr>
          <w:rFonts w:ascii="Times New Roman" w:hAnsi="Times New Roman" w:cs="Times New Roman"/>
          <w:i w:val="0"/>
          <w:iCs w:val="0"/>
        </w:rPr>
        <w:instrText xml:space="preserve"> REF _Ref127370756 \h  \* MERGEFORMAT </w:instrText>
      </w:r>
      <w:r w:rsidR="009644FA" w:rsidRPr="00147AF9">
        <w:rPr>
          <w:rFonts w:ascii="Times New Roman" w:hAnsi="Times New Roman" w:cs="Times New Roman"/>
          <w:i w:val="0"/>
          <w:iCs w:val="0"/>
        </w:rPr>
      </w:r>
      <w:r w:rsidR="009644FA" w:rsidRPr="00147AF9">
        <w:rPr>
          <w:rFonts w:ascii="Times New Roman" w:hAnsi="Times New Roman" w:cs="Times New Roman"/>
          <w:i w:val="0"/>
          <w:iCs w:val="0"/>
        </w:rPr>
        <w:fldChar w:fldCharType="separate"/>
      </w:r>
      <w:r w:rsidR="009644FA" w:rsidRPr="00147AF9">
        <w:rPr>
          <w:rFonts w:ascii="Times New Roman" w:hAnsi="Times New Roman" w:cs="Times New Roman"/>
          <w:i w:val="0"/>
          <w:iCs w:val="0"/>
          <w:color w:val="auto"/>
          <w:sz w:val="24"/>
          <w:szCs w:val="24"/>
        </w:rPr>
        <w:t>Figure S14</w:t>
      </w:r>
      <w:r w:rsidR="009644FA" w:rsidRPr="00147AF9">
        <w:rPr>
          <w:rFonts w:ascii="Times New Roman" w:hAnsi="Times New Roman" w:cs="Times New Roman"/>
          <w:i w:val="0"/>
          <w:iCs w:val="0"/>
        </w:rPr>
        <w:fldChar w:fldCharType="end"/>
      </w:r>
      <w:r w:rsidRPr="00892425">
        <w:rPr>
          <w:rFonts w:ascii="Times New Roman" w:hAnsi="Times New Roman"/>
          <w:i w:val="0"/>
          <w:iCs w:val="0"/>
          <w:color w:val="000000" w:themeColor="text1"/>
          <w:sz w:val="24"/>
          <w:szCs w:val="24"/>
        </w:rPr>
        <w:t>.</w:t>
      </w:r>
      <w:r>
        <w:rPr>
          <w:rFonts w:ascii="Times New Roman" w:hAnsi="Times New Roman"/>
          <w:i w:val="0"/>
          <w:iCs w:val="0"/>
          <w:color w:val="000000" w:themeColor="text1"/>
          <w:sz w:val="24"/>
          <w:szCs w:val="24"/>
        </w:rPr>
        <w:t xml:space="preserve"> For these conditions, there is no saturation with graphite, </w:t>
      </w:r>
      <w:proofErr w:type="spellStart"/>
      <w:r>
        <w:rPr>
          <w:rFonts w:ascii="Times New Roman" w:hAnsi="Times New Roman"/>
          <w:i w:val="0"/>
          <w:iCs w:val="0"/>
          <w:color w:val="000000" w:themeColor="text1"/>
          <w:sz w:val="24"/>
          <w:szCs w:val="24"/>
        </w:rPr>
        <w:t>sulfide</w:t>
      </w:r>
      <w:proofErr w:type="spellEnd"/>
      <w:r>
        <w:rPr>
          <w:rFonts w:ascii="Times New Roman" w:hAnsi="Times New Roman"/>
          <w:i w:val="0"/>
          <w:iCs w:val="0"/>
          <w:color w:val="000000" w:themeColor="text1"/>
          <w:sz w:val="24"/>
          <w:szCs w:val="24"/>
        </w:rPr>
        <w:t>, or anhydrite.</w:t>
      </w:r>
    </w:p>
    <w:p w14:paraId="404F8C21" w14:textId="54015B53" w:rsidR="003F22E0" w:rsidRDefault="002B13DE" w:rsidP="0095061F">
      <w:pPr>
        <w:ind w:firstLine="720"/>
        <w:jc w:val="both"/>
        <w:rPr>
          <w:rFonts w:ascii="Times New Roman" w:hAnsi="Times New Roman"/>
        </w:rPr>
      </w:pPr>
      <w:r>
        <w:rPr>
          <w:rFonts w:ascii="Times New Roman" w:hAnsi="Times New Roman"/>
        </w:rPr>
        <w:lastRenderedPageBreak/>
        <w:t>Although the effect is not large, t</w:t>
      </w:r>
      <w:r w:rsidR="003F22E0" w:rsidRPr="00892425">
        <w:rPr>
          <w:rFonts w:ascii="Times New Roman" w:hAnsi="Times New Roman"/>
        </w:rPr>
        <w:t xml:space="preserve">he maximum in </w:t>
      </w:r>
      <w:r w:rsidR="003F22E0" w:rsidRPr="00892425">
        <w:rPr>
          <w:rFonts w:ascii="Times New Roman" w:hAnsi="Times New Roman"/>
          <w:i/>
          <w:iCs/>
        </w:rPr>
        <w:t>p</w:t>
      </w:r>
      <w:r w:rsidR="003F22E0" w:rsidRPr="00892425">
        <w:rPr>
          <w:rFonts w:ascii="Times New Roman" w:hAnsi="Times New Roman"/>
          <w:vertAlign w:val="subscript"/>
        </w:rPr>
        <w:t xml:space="preserve">SO2 </w:t>
      </w:r>
      <w:r w:rsidR="003F22E0" w:rsidRPr="00892425">
        <w:rPr>
          <w:rFonts w:ascii="Times New Roman" w:hAnsi="Times New Roman"/>
        </w:rPr>
        <w:t xml:space="preserve">for case </w:t>
      </w:r>
      <w:r w:rsidR="000D5520">
        <w:rPr>
          <w:rFonts w:ascii="Times New Roman" w:hAnsi="Times New Roman"/>
        </w:rPr>
        <w:t>3</w:t>
      </w:r>
      <w:r w:rsidR="003F22E0" w:rsidRPr="00892425">
        <w:rPr>
          <w:rFonts w:ascii="Times New Roman" w:hAnsi="Times New Roman"/>
        </w:rPr>
        <w:t xml:space="preserve"> is smaller and at a higher </w:t>
      </w:r>
      <w:r w:rsidR="003F22E0" w:rsidRPr="00892425">
        <w:rPr>
          <w:rFonts w:ascii="Times New Roman" w:hAnsi="Times New Roman"/>
          <w:i/>
          <w:iCs/>
        </w:rPr>
        <w:t>f</w:t>
      </w:r>
      <w:r w:rsidR="003F22E0" w:rsidRPr="00892425">
        <w:rPr>
          <w:rFonts w:ascii="Times New Roman" w:hAnsi="Times New Roman"/>
          <w:vertAlign w:val="subscript"/>
        </w:rPr>
        <w:t>O2</w:t>
      </w:r>
      <w:r w:rsidR="003F22E0" w:rsidRPr="00892425">
        <w:rPr>
          <w:rFonts w:ascii="Times New Roman" w:hAnsi="Times New Roman"/>
        </w:rPr>
        <w:t xml:space="preserve"> </w:t>
      </w:r>
      <w:r>
        <w:rPr>
          <w:rFonts w:ascii="Times New Roman" w:hAnsi="Times New Roman"/>
        </w:rPr>
        <w:t xml:space="preserve">relative to case 3’ </w:t>
      </w:r>
      <w:r w:rsidR="000D5520">
        <w:rPr>
          <w:rFonts w:ascii="Times New Roman" w:hAnsi="Times New Roman"/>
        </w:rPr>
        <w:t>(</w:t>
      </w:r>
      <w:r w:rsidR="000D5520" w:rsidRPr="000D5520">
        <w:rPr>
          <w:rFonts w:ascii="Times New Roman" w:hAnsi="Times New Roman" w:cs="Times New Roman"/>
        </w:rPr>
        <w:fldChar w:fldCharType="begin"/>
      </w:r>
      <w:r w:rsidR="000D5520" w:rsidRPr="000D5520">
        <w:rPr>
          <w:rFonts w:ascii="Times New Roman" w:hAnsi="Times New Roman" w:cs="Times New Roman"/>
        </w:rPr>
        <w:instrText xml:space="preserve"> REF _Ref127370756 \h </w:instrText>
      </w:r>
      <w:r w:rsidR="000D5520">
        <w:rPr>
          <w:rFonts w:ascii="Times New Roman" w:hAnsi="Times New Roman" w:cs="Times New Roman"/>
        </w:rPr>
        <w:instrText xml:space="preserve"> \* MERGEFORMAT </w:instrText>
      </w:r>
      <w:r w:rsidR="000D5520" w:rsidRPr="000D5520">
        <w:rPr>
          <w:rFonts w:ascii="Times New Roman" w:hAnsi="Times New Roman" w:cs="Times New Roman"/>
        </w:rPr>
      </w:r>
      <w:r w:rsidR="000D5520" w:rsidRPr="000D5520">
        <w:rPr>
          <w:rFonts w:ascii="Times New Roman" w:hAnsi="Times New Roman" w:cs="Times New Roman"/>
        </w:rPr>
        <w:fldChar w:fldCharType="separate"/>
      </w:r>
      <w:r w:rsidR="009644FA" w:rsidRPr="00147AF9">
        <w:rPr>
          <w:rFonts w:ascii="Times New Roman" w:hAnsi="Times New Roman" w:cs="Times New Roman"/>
        </w:rPr>
        <w:t>Figure S14</w:t>
      </w:r>
      <w:r w:rsidR="000D5520" w:rsidRPr="000D5520">
        <w:rPr>
          <w:rFonts w:ascii="Times New Roman" w:hAnsi="Times New Roman" w:cs="Times New Roman"/>
        </w:rPr>
        <w:fldChar w:fldCharType="end"/>
      </w:r>
      <w:r w:rsidR="000D5520">
        <w:rPr>
          <w:rFonts w:ascii="Times New Roman" w:hAnsi="Times New Roman"/>
        </w:rPr>
        <w:t>)</w:t>
      </w:r>
      <w:r w:rsidR="003F22E0" w:rsidRPr="00892425">
        <w:rPr>
          <w:rFonts w:ascii="Times New Roman" w:hAnsi="Times New Roman"/>
        </w:rPr>
        <w:t xml:space="preserve">. </w:t>
      </w:r>
      <w:r w:rsidR="003F22E0" w:rsidRPr="00892425">
        <w:rPr>
          <w:rFonts w:ascii="Times New Roman" w:hAnsi="Times New Roman"/>
          <w:color w:val="000000" w:themeColor="text1"/>
        </w:rPr>
        <w:t xml:space="preserve">This reflects that at </w:t>
      </w:r>
      <w:r w:rsidR="003F22E0" w:rsidRPr="00892425">
        <w:rPr>
          <w:rFonts w:ascii="Times New Roman" w:hAnsi="Times New Roman"/>
          <w:color w:val="000000" w:themeColor="text1"/>
        </w:rPr>
        <w:sym w:font="Symbol" w:char="F044"/>
      </w:r>
      <w:r w:rsidR="003F22E0" w:rsidRPr="00892425">
        <w:rPr>
          <w:rFonts w:ascii="Times New Roman" w:hAnsi="Times New Roman"/>
          <w:color w:val="000000" w:themeColor="text1"/>
        </w:rPr>
        <w:t xml:space="preserve">FMQ &lt; +1, </w:t>
      </w:r>
      <w:r w:rsidR="003F22E0" w:rsidRPr="00892425">
        <w:rPr>
          <w:rFonts w:ascii="Times New Roman" w:hAnsi="Times New Roman"/>
        </w:rPr>
        <w:t xml:space="preserve">a </w:t>
      </w:r>
      <w:r w:rsidR="0095061F">
        <w:rPr>
          <w:rFonts w:ascii="Times New Roman" w:hAnsi="Times New Roman"/>
        </w:rPr>
        <w:t>higher</w:t>
      </w:r>
      <w:r w:rsidR="003F22E0" w:rsidRPr="00892425">
        <w:rPr>
          <w:rFonts w:ascii="Times New Roman" w:hAnsi="Times New Roman"/>
        </w:rPr>
        <w:t xml:space="preserve"> proportion of </w:t>
      </w:r>
      <w:proofErr w:type="spellStart"/>
      <w:r w:rsidR="003F22E0" w:rsidRPr="00892425">
        <w:rPr>
          <w:rFonts w:ascii="Times New Roman" w:hAnsi="Times New Roman"/>
        </w:rPr>
        <w:t>sulfur</w:t>
      </w:r>
      <w:proofErr w:type="spellEnd"/>
      <w:r w:rsidR="003F22E0" w:rsidRPr="00892425">
        <w:rPr>
          <w:rFonts w:ascii="Times New Roman" w:hAnsi="Times New Roman"/>
        </w:rPr>
        <w:t xml:space="preserve"> is dissolved in the melt as </w:t>
      </w:r>
      <w:r w:rsidR="003F22E0" w:rsidRPr="00892425">
        <w:rPr>
          <w:rFonts w:ascii="Times New Roman" w:hAnsi="Times New Roman"/>
          <w:color w:val="000000" w:themeColor="text1"/>
        </w:rPr>
        <w:t>*S</w:t>
      </w:r>
      <w:r w:rsidR="003F22E0" w:rsidRPr="00892425">
        <w:rPr>
          <w:rFonts w:ascii="Times New Roman" w:hAnsi="Times New Roman"/>
          <w:color w:val="000000" w:themeColor="text1"/>
          <w:vertAlign w:val="superscript"/>
        </w:rPr>
        <w:t>2</w:t>
      </w:r>
      <w:r w:rsidR="003F22E0" w:rsidRPr="00892425">
        <w:rPr>
          <w:rFonts w:ascii="Times New Roman" w:hAnsi="Times New Roman"/>
        </w:rPr>
        <w:t xml:space="preserve"> for case </w:t>
      </w:r>
      <w:r w:rsidR="000D5520">
        <w:rPr>
          <w:rFonts w:ascii="Times New Roman" w:hAnsi="Times New Roman"/>
        </w:rPr>
        <w:t>3</w:t>
      </w:r>
      <w:r>
        <w:rPr>
          <w:rFonts w:ascii="Times New Roman" w:hAnsi="Times New Roman"/>
        </w:rPr>
        <w:t>’</w:t>
      </w:r>
      <w:r w:rsidR="003F22E0" w:rsidRPr="00892425">
        <w:rPr>
          <w:rFonts w:ascii="Times New Roman" w:hAnsi="Times New Roman"/>
        </w:rPr>
        <w:t xml:space="preserve"> relative to case </w:t>
      </w:r>
      <w:r w:rsidR="000D5520">
        <w:rPr>
          <w:rFonts w:ascii="Times New Roman" w:hAnsi="Times New Roman"/>
        </w:rPr>
        <w:t>3</w:t>
      </w:r>
      <w:r w:rsidR="003F22E0" w:rsidRPr="00892425">
        <w:rPr>
          <w:rFonts w:ascii="Times New Roman" w:hAnsi="Times New Roman"/>
          <w:color w:val="000000" w:themeColor="text1"/>
        </w:rPr>
        <w:t xml:space="preserve"> </w:t>
      </w:r>
      <w:r w:rsidR="0095061F">
        <w:rPr>
          <w:rFonts w:ascii="Times New Roman" w:hAnsi="Times New Roman"/>
          <w:color w:val="000000" w:themeColor="text1"/>
        </w:rPr>
        <w:t>due to the lack of</w:t>
      </w:r>
      <w:r w:rsidR="003F22E0" w:rsidRPr="00892425">
        <w:rPr>
          <w:rFonts w:ascii="Times New Roman" w:hAnsi="Times New Roman"/>
          <w:color w:val="000000" w:themeColor="text1"/>
        </w:rPr>
        <w:t xml:space="preserve"> dissolved H</w:t>
      </w:r>
      <w:r w:rsidR="003F22E0" w:rsidRPr="00892425">
        <w:rPr>
          <w:rFonts w:ascii="Times New Roman" w:hAnsi="Times New Roman"/>
          <w:color w:val="000000" w:themeColor="text1"/>
          <w:vertAlign w:val="subscript"/>
        </w:rPr>
        <w:t>2</w:t>
      </w:r>
      <w:r w:rsidR="003F22E0" w:rsidRPr="00892425">
        <w:rPr>
          <w:rFonts w:ascii="Times New Roman" w:hAnsi="Times New Roman"/>
          <w:color w:val="000000" w:themeColor="text1"/>
        </w:rPr>
        <w:t>S</w:t>
      </w:r>
      <w:r w:rsidR="003F22E0" w:rsidRPr="00892425">
        <w:rPr>
          <w:rFonts w:ascii="Times New Roman" w:hAnsi="Times New Roman"/>
          <w:color w:val="000000" w:themeColor="text1"/>
          <w:vertAlign w:val="subscript"/>
        </w:rPr>
        <w:t>mol</w:t>
      </w:r>
      <w:r w:rsidR="0095061F">
        <w:rPr>
          <w:rFonts w:ascii="Times New Roman" w:hAnsi="Times New Roman"/>
          <w:color w:val="000000" w:themeColor="text1"/>
        </w:rPr>
        <w:t xml:space="preserve"> in case 3'.</w:t>
      </w:r>
      <w:r w:rsidR="003F22E0" w:rsidRPr="00892425">
        <w:rPr>
          <w:rFonts w:ascii="Times New Roman" w:hAnsi="Times New Roman"/>
        </w:rPr>
        <w:t xml:space="preserve"> </w:t>
      </w:r>
      <w:r>
        <w:rPr>
          <w:rFonts w:ascii="Times New Roman" w:hAnsi="Times New Roman"/>
        </w:rPr>
        <w:t>As a result</w:t>
      </w:r>
      <w:r w:rsidR="0095061F">
        <w:rPr>
          <w:rFonts w:ascii="Times New Roman" w:hAnsi="Times New Roman"/>
        </w:rPr>
        <w:t xml:space="preserve">, </w:t>
      </w:r>
      <w:r>
        <w:rPr>
          <w:rFonts w:ascii="Times New Roman" w:hAnsi="Times New Roman"/>
        </w:rPr>
        <w:t xml:space="preserve">both </w:t>
      </w:r>
      <w:r w:rsidR="003F22E0" w:rsidRPr="00892425">
        <w:rPr>
          <w:rFonts w:ascii="Times New Roman" w:hAnsi="Times New Roman"/>
          <w:i/>
          <w:iCs/>
        </w:rPr>
        <w:t>p</w:t>
      </w:r>
      <w:r w:rsidR="003F22E0" w:rsidRPr="00892425">
        <w:rPr>
          <w:rFonts w:ascii="Times New Roman" w:hAnsi="Times New Roman"/>
          <w:vertAlign w:val="subscript"/>
        </w:rPr>
        <w:t>S2</w:t>
      </w:r>
      <w:r w:rsidR="003F22E0" w:rsidRPr="00892425">
        <w:rPr>
          <w:rFonts w:ascii="Times New Roman" w:hAnsi="Times New Roman"/>
        </w:rPr>
        <w:t xml:space="preserve"> </w:t>
      </w:r>
      <w:r>
        <w:rPr>
          <w:rFonts w:ascii="Times New Roman" w:hAnsi="Times New Roman"/>
        </w:rPr>
        <w:t>(</w:t>
      </w:r>
      <w:r w:rsidR="003F22E0" w:rsidRPr="00892425">
        <w:rPr>
          <w:rFonts w:ascii="Times New Roman" w:hAnsi="Times New Roman"/>
        </w:rPr>
        <w:t xml:space="preserve">through equation </w:t>
      </w:r>
      <w:r w:rsidR="003F22E0" w:rsidRPr="00892425">
        <w:rPr>
          <w:rFonts w:ascii="Times New Roman" w:hAnsi="Times New Roman"/>
          <w:color w:val="000000" w:themeColor="text1"/>
        </w:rPr>
        <w:t>(16)</w:t>
      </w:r>
      <w:r w:rsidR="000D5520">
        <w:rPr>
          <w:rFonts w:ascii="Times New Roman" w:hAnsi="Times New Roman"/>
          <w:color w:val="000000" w:themeColor="text1"/>
        </w:rPr>
        <w:t xml:space="preserve"> in</w:t>
      </w:r>
      <w:r w:rsidR="009644FA">
        <w:rPr>
          <w:rFonts w:ascii="Times New Roman" w:hAnsi="Times New Roman"/>
          <w:color w:val="000000" w:themeColor="text1"/>
        </w:rPr>
        <w:t xml:space="preserve"> Table 2 of</w:t>
      </w:r>
      <w:r w:rsidR="000D5520">
        <w:rPr>
          <w:rFonts w:ascii="Times New Roman" w:hAnsi="Times New Roman"/>
          <w:color w:val="000000" w:themeColor="text1"/>
        </w:rPr>
        <w:t xml:space="preserve"> the main text</w:t>
      </w:r>
      <w:r>
        <w:rPr>
          <w:rFonts w:ascii="Times New Roman" w:hAnsi="Times New Roman"/>
          <w:color w:val="000000" w:themeColor="text1"/>
        </w:rPr>
        <w:t>)</w:t>
      </w:r>
      <w:r w:rsidR="003F22E0" w:rsidRPr="00892425">
        <w:rPr>
          <w:rFonts w:ascii="Times New Roman" w:hAnsi="Times New Roman"/>
        </w:rPr>
        <w:t xml:space="preserve"> and </w:t>
      </w:r>
      <w:r w:rsidR="003F22E0" w:rsidRPr="00892425">
        <w:rPr>
          <w:rFonts w:ascii="Times New Roman" w:hAnsi="Times New Roman"/>
          <w:i/>
          <w:iCs/>
        </w:rPr>
        <w:t>p</w:t>
      </w:r>
      <w:r w:rsidR="003F22E0" w:rsidRPr="00892425">
        <w:rPr>
          <w:rFonts w:ascii="Times New Roman" w:hAnsi="Times New Roman"/>
          <w:vertAlign w:val="subscript"/>
        </w:rPr>
        <w:t>SO2</w:t>
      </w:r>
      <w:r w:rsidR="003F22E0" w:rsidRPr="00892425">
        <w:rPr>
          <w:rFonts w:ascii="Times New Roman" w:hAnsi="Times New Roman"/>
        </w:rPr>
        <w:t xml:space="preserve"> </w:t>
      </w:r>
      <w:r>
        <w:rPr>
          <w:rFonts w:ascii="Times New Roman" w:hAnsi="Times New Roman"/>
        </w:rPr>
        <w:t>(</w:t>
      </w:r>
      <w:r w:rsidR="003F22E0" w:rsidRPr="00892425">
        <w:rPr>
          <w:rFonts w:ascii="Times New Roman" w:hAnsi="Times New Roman"/>
        </w:rPr>
        <w:t xml:space="preserve">through equation </w:t>
      </w:r>
      <w:r w:rsidR="003F22E0" w:rsidRPr="00892425">
        <w:rPr>
          <w:rFonts w:ascii="Times New Roman" w:hAnsi="Times New Roman"/>
          <w:color w:val="000000" w:themeColor="text1"/>
        </w:rPr>
        <w:t>(7)</w:t>
      </w:r>
      <w:r w:rsidR="000D5520">
        <w:rPr>
          <w:rFonts w:ascii="Times New Roman" w:hAnsi="Times New Roman"/>
          <w:color w:val="000000" w:themeColor="text1"/>
        </w:rPr>
        <w:t xml:space="preserve"> in </w:t>
      </w:r>
      <w:r w:rsidR="009644FA">
        <w:rPr>
          <w:rFonts w:ascii="Times New Roman" w:hAnsi="Times New Roman"/>
          <w:color w:val="000000" w:themeColor="text1"/>
        </w:rPr>
        <w:t xml:space="preserve">Table 2 of </w:t>
      </w:r>
      <w:r w:rsidR="000D5520">
        <w:rPr>
          <w:rFonts w:ascii="Times New Roman" w:hAnsi="Times New Roman"/>
          <w:color w:val="000000" w:themeColor="text1"/>
        </w:rPr>
        <w:t>the main text</w:t>
      </w:r>
      <w:r>
        <w:rPr>
          <w:rFonts w:ascii="Times New Roman" w:hAnsi="Times New Roman"/>
          <w:color w:val="000000" w:themeColor="text1"/>
        </w:rPr>
        <w:t>)</w:t>
      </w:r>
      <w:r w:rsidR="0095061F">
        <w:rPr>
          <w:rFonts w:ascii="Times New Roman" w:hAnsi="Times New Roman"/>
          <w:color w:val="000000" w:themeColor="text1"/>
        </w:rPr>
        <w:t xml:space="preserve"> are higher in case 3’ than case 3</w:t>
      </w:r>
      <w:r w:rsidR="003F22E0" w:rsidRPr="00892425">
        <w:rPr>
          <w:rFonts w:ascii="Times New Roman" w:hAnsi="Times New Roman"/>
        </w:rPr>
        <w:t xml:space="preserve">. In contrast, at higher </w:t>
      </w:r>
      <w:r w:rsidR="003F22E0" w:rsidRPr="00892425">
        <w:rPr>
          <w:rFonts w:ascii="Times New Roman" w:hAnsi="Times New Roman"/>
          <w:i/>
          <w:iCs/>
        </w:rPr>
        <w:t>f</w:t>
      </w:r>
      <w:r w:rsidR="003F22E0" w:rsidRPr="00892425">
        <w:rPr>
          <w:rFonts w:ascii="Times New Roman" w:hAnsi="Times New Roman"/>
          <w:vertAlign w:val="subscript"/>
        </w:rPr>
        <w:t>O2</w:t>
      </w:r>
      <w:r w:rsidR="003F22E0" w:rsidRPr="00892425">
        <w:rPr>
          <w:rFonts w:ascii="Times New Roman" w:hAnsi="Times New Roman"/>
        </w:rPr>
        <w:t xml:space="preserve"> (i.e., </w:t>
      </w:r>
      <w:r w:rsidR="003F22E0" w:rsidRPr="00892425">
        <w:rPr>
          <w:rFonts w:ascii="Times New Roman" w:hAnsi="Times New Roman"/>
          <w:color w:val="000000" w:themeColor="text1"/>
        </w:rPr>
        <w:sym w:font="Symbol" w:char="F044"/>
      </w:r>
      <w:r w:rsidR="003F22E0" w:rsidRPr="00892425">
        <w:rPr>
          <w:rFonts w:ascii="Times New Roman" w:hAnsi="Times New Roman"/>
          <w:color w:val="000000" w:themeColor="text1"/>
        </w:rPr>
        <w:t xml:space="preserve">FMQ &gt; +1.5), </w:t>
      </w:r>
      <w:r w:rsidR="003F22E0" w:rsidRPr="00892425">
        <w:rPr>
          <w:rFonts w:ascii="Times New Roman" w:hAnsi="Times New Roman"/>
          <w:i/>
          <w:iCs/>
          <w:color w:val="000000" w:themeColor="text1"/>
        </w:rPr>
        <w:t>f</w:t>
      </w:r>
      <w:r w:rsidR="003F22E0" w:rsidRPr="00892425">
        <w:rPr>
          <w:rFonts w:ascii="Times New Roman" w:hAnsi="Times New Roman"/>
          <w:color w:val="000000" w:themeColor="text1"/>
          <w:vertAlign w:val="subscript"/>
        </w:rPr>
        <w:t>H2S</w:t>
      </w:r>
      <w:r w:rsidR="003F22E0" w:rsidRPr="00892425">
        <w:rPr>
          <w:rFonts w:ascii="Times New Roman" w:hAnsi="Times New Roman"/>
          <w:color w:val="000000" w:themeColor="text1"/>
        </w:rPr>
        <w:t xml:space="preserve"> is negligible </w:t>
      </w:r>
      <w:r>
        <w:rPr>
          <w:rFonts w:ascii="Times New Roman" w:hAnsi="Times New Roman"/>
          <w:color w:val="000000" w:themeColor="text1"/>
        </w:rPr>
        <w:t xml:space="preserve">for both cases 3 and 3’ </w:t>
      </w:r>
      <w:r w:rsidR="003F22E0" w:rsidRPr="00892425">
        <w:rPr>
          <w:rFonts w:ascii="Times New Roman" w:hAnsi="Times New Roman"/>
          <w:color w:val="000000" w:themeColor="text1"/>
        </w:rPr>
        <w:t>based on equation (9)</w:t>
      </w:r>
      <w:r w:rsidR="000D5520">
        <w:rPr>
          <w:rFonts w:ascii="Times New Roman" w:hAnsi="Times New Roman"/>
          <w:color w:val="000000" w:themeColor="text1"/>
        </w:rPr>
        <w:t xml:space="preserve"> in</w:t>
      </w:r>
      <w:r w:rsidR="009259DA">
        <w:rPr>
          <w:rFonts w:ascii="Times New Roman" w:hAnsi="Times New Roman"/>
          <w:color w:val="000000" w:themeColor="text1"/>
        </w:rPr>
        <w:t xml:space="preserve"> Table 2 in</w:t>
      </w:r>
      <w:r w:rsidR="000D5520">
        <w:rPr>
          <w:rFonts w:ascii="Times New Roman" w:hAnsi="Times New Roman"/>
          <w:color w:val="000000" w:themeColor="text1"/>
        </w:rPr>
        <w:t xml:space="preserve"> the main text</w:t>
      </w:r>
      <w:r w:rsidR="003F22E0" w:rsidRPr="00892425">
        <w:rPr>
          <w:rFonts w:ascii="Times New Roman" w:hAnsi="Times New Roman"/>
          <w:color w:val="000000" w:themeColor="text1"/>
        </w:rPr>
        <w:t xml:space="preserve">, and as a result, </w:t>
      </w:r>
      <w:r w:rsidR="003F22E0" w:rsidRPr="00892425">
        <w:rPr>
          <w:rFonts w:ascii="Times New Roman" w:hAnsi="Times New Roman"/>
          <w:i/>
          <w:iCs/>
          <w:color w:val="000000" w:themeColor="text1"/>
        </w:rPr>
        <w:t>p</w:t>
      </w:r>
      <w:r w:rsidR="003F22E0" w:rsidRPr="00892425">
        <w:rPr>
          <w:rFonts w:ascii="Times New Roman" w:hAnsi="Times New Roman"/>
          <w:color w:val="000000" w:themeColor="text1"/>
          <w:vertAlign w:val="subscript"/>
        </w:rPr>
        <w:t>S2</w:t>
      </w:r>
      <w:r w:rsidR="003F22E0" w:rsidRPr="00892425">
        <w:rPr>
          <w:rFonts w:ascii="Times New Roman" w:hAnsi="Times New Roman"/>
          <w:color w:val="000000" w:themeColor="text1"/>
        </w:rPr>
        <w:t xml:space="preserve"> and </w:t>
      </w:r>
      <w:r w:rsidR="003F22E0" w:rsidRPr="00892425">
        <w:rPr>
          <w:rFonts w:ascii="Times New Roman" w:hAnsi="Times New Roman"/>
          <w:i/>
          <w:iCs/>
          <w:color w:val="000000" w:themeColor="text1"/>
        </w:rPr>
        <w:t>p</w:t>
      </w:r>
      <w:r w:rsidR="003F22E0" w:rsidRPr="00892425">
        <w:rPr>
          <w:rFonts w:ascii="Times New Roman" w:hAnsi="Times New Roman"/>
          <w:color w:val="000000" w:themeColor="text1"/>
          <w:vertAlign w:val="subscript"/>
        </w:rPr>
        <w:t>SO2</w:t>
      </w:r>
      <w:r w:rsidR="003F22E0" w:rsidRPr="00892425">
        <w:rPr>
          <w:rFonts w:ascii="Times New Roman" w:hAnsi="Times New Roman"/>
          <w:color w:val="000000" w:themeColor="text1"/>
        </w:rPr>
        <w:t xml:space="preserve"> are </w:t>
      </w:r>
      <w:r>
        <w:rPr>
          <w:rFonts w:ascii="Times New Roman" w:hAnsi="Times New Roman"/>
          <w:color w:val="000000" w:themeColor="text1"/>
        </w:rPr>
        <w:t>essentially indistinguishable for</w:t>
      </w:r>
      <w:r w:rsidR="000D5520">
        <w:rPr>
          <w:rFonts w:ascii="Times New Roman" w:hAnsi="Times New Roman"/>
          <w:color w:val="000000" w:themeColor="text1"/>
        </w:rPr>
        <w:t xml:space="preserve"> case</w:t>
      </w:r>
      <w:r>
        <w:rPr>
          <w:rFonts w:ascii="Times New Roman" w:hAnsi="Times New Roman"/>
          <w:color w:val="000000" w:themeColor="text1"/>
        </w:rPr>
        <w:t>s</w:t>
      </w:r>
      <w:r w:rsidR="000D5520">
        <w:rPr>
          <w:rFonts w:ascii="Times New Roman" w:hAnsi="Times New Roman"/>
          <w:color w:val="000000" w:themeColor="text1"/>
        </w:rPr>
        <w:t xml:space="preserve"> 3 and 3’</w:t>
      </w:r>
      <w:r>
        <w:rPr>
          <w:rFonts w:ascii="Times New Roman" w:hAnsi="Times New Roman"/>
          <w:color w:val="000000" w:themeColor="text1"/>
        </w:rPr>
        <w:t xml:space="preserve"> under these conditions</w:t>
      </w:r>
      <w:r w:rsidR="003F22E0" w:rsidRPr="00892425">
        <w:rPr>
          <w:rFonts w:ascii="Times New Roman" w:hAnsi="Times New Roman"/>
          <w:color w:val="000000" w:themeColor="text1"/>
        </w:rPr>
        <w:t xml:space="preserve">. The combination of these two effects results in a </w:t>
      </w:r>
      <w:r w:rsidR="0095061F">
        <w:rPr>
          <w:rFonts w:ascii="Times New Roman" w:hAnsi="Times New Roman"/>
          <w:color w:val="000000" w:themeColor="text1"/>
        </w:rPr>
        <w:t>higher</w:t>
      </w:r>
      <w:r w:rsidR="003F22E0" w:rsidRPr="00892425">
        <w:rPr>
          <w:rFonts w:ascii="Times New Roman" w:hAnsi="Times New Roman"/>
          <w:color w:val="000000" w:themeColor="text1"/>
        </w:rPr>
        <w:t xml:space="preserve"> </w:t>
      </w:r>
      <w:r w:rsidR="003F22E0" w:rsidRPr="00892425">
        <w:rPr>
          <w:rFonts w:ascii="Times New Roman" w:hAnsi="Times New Roman"/>
          <w:i/>
          <w:iCs/>
          <w:color w:val="000000" w:themeColor="text1"/>
        </w:rPr>
        <w:t>p</w:t>
      </w:r>
      <w:r w:rsidR="003F22E0" w:rsidRPr="00892425">
        <w:rPr>
          <w:rFonts w:ascii="Times New Roman" w:hAnsi="Times New Roman"/>
          <w:color w:val="000000" w:themeColor="text1"/>
          <w:vertAlign w:val="subscript"/>
        </w:rPr>
        <w:t>SO2</w:t>
      </w:r>
      <w:r w:rsidR="003F22E0" w:rsidRPr="00892425">
        <w:rPr>
          <w:rFonts w:ascii="Times New Roman" w:hAnsi="Times New Roman"/>
          <w:color w:val="000000" w:themeColor="text1"/>
        </w:rPr>
        <w:t xml:space="preserve"> at its maximum and shifts the maximum to </w:t>
      </w:r>
      <w:r w:rsidR="0095061F">
        <w:rPr>
          <w:rFonts w:ascii="Times New Roman" w:hAnsi="Times New Roman"/>
          <w:color w:val="000000" w:themeColor="text1"/>
        </w:rPr>
        <w:t>lower</w:t>
      </w:r>
      <w:r w:rsidR="003F22E0" w:rsidRPr="00892425">
        <w:rPr>
          <w:rFonts w:ascii="Times New Roman" w:hAnsi="Times New Roman"/>
          <w:color w:val="000000" w:themeColor="text1"/>
        </w:rPr>
        <w:t xml:space="preserve"> </w:t>
      </w:r>
      <w:r w:rsidR="003F22E0" w:rsidRPr="00892425">
        <w:rPr>
          <w:rFonts w:ascii="Times New Roman" w:hAnsi="Times New Roman"/>
          <w:i/>
          <w:iCs/>
          <w:color w:val="000000" w:themeColor="text1"/>
        </w:rPr>
        <w:t>f</w:t>
      </w:r>
      <w:r w:rsidR="003F22E0" w:rsidRPr="00892425">
        <w:rPr>
          <w:rFonts w:ascii="Times New Roman" w:hAnsi="Times New Roman"/>
          <w:color w:val="000000" w:themeColor="text1"/>
          <w:vertAlign w:val="subscript"/>
        </w:rPr>
        <w:t>O2</w:t>
      </w:r>
      <w:r w:rsidR="000D5520">
        <w:rPr>
          <w:rFonts w:ascii="Times New Roman" w:hAnsi="Times New Roman"/>
          <w:color w:val="000000" w:themeColor="text1"/>
        </w:rPr>
        <w:t xml:space="preserve"> for case 3</w:t>
      </w:r>
      <w:r w:rsidR="0095061F">
        <w:rPr>
          <w:rFonts w:ascii="Times New Roman" w:hAnsi="Times New Roman"/>
          <w:color w:val="000000" w:themeColor="text1"/>
        </w:rPr>
        <w:t>’</w:t>
      </w:r>
      <w:r w:rsidR="000D5520">
        <w:rPr>
          <w:rFonts w:ascii="Times New Roman" w:hAnsi="Times New Roman"/>
          <w:color w:val="000000" w:themeColor="text1"/>
        </w:rPr>
        <w:t xml:space="preserve"> compared to 3.</w:t>
      </w:r>
      <w:r w:rsidR="003F22E0" w:rsidRPr="00892425">
        <w:rPr>
          <w:rFonts w:ascii="Times New Roman" w:hAnsi="Times New Roman"/>
        </w:rPr>
        <w:t xml:space="preserve"> As H</w:t>
      </w:r>
      <w:r w:rsidR="003F22E0" w:rsidRPr="00892425">
        <w:rPr>
          <w:rFonts w:ascii="Times New Roman" w:hAnsi="Times New Roman"/>
          <w:vertAlign w:val="subscript"/>
        </w:rPr>
        <w:t>2</w:t>
      </w:r>
      <w:r w:rsidR="003F22E0" w:rsidRPr="00892425">
        <w:rPr>
          <w:rFonts w:ascii="Times New Roman" w:hAnsi="Times New Roman"/>
        </w:rPr>
        <w:t>S</w:t>
      </w:r>
      <w:r w:rsidR="003F22E0" w:rsidRPr="00892425">
        <w:rPr>
          <w:rFonts w:ascii="Times New Roman" w:hAnsi="Times New Roman"/>
          <w:vertAlign w:val="subscript"/>
        </w:rPr>
        <w:t>mol</w:t>
      </w:r>
      <w:r w:rsidR="003F22E0" w:rsidRPr="00892425">
        <w:rPr>
          <w:rFonts w:ascii="Times New Roman" w:hAnsi="Times New Roman"/>
        </w:rPr>
        <w:t xml:space="preserve"> is treated as </w:t>
      </w:r>
      <w:r w:rsidR="0095061F">
        <w:rPr>
          <w:rFonts w:ascii="Times New Roman" w:hAnsi="Times New Roman"/>
        </w:rPr>
        <w:t>in</w:t>
      </w:r>
      <w:r w:rsidR="003F22E0" w:rsidRPr="00892425">
        <w:rPr>
          <w:rFonts w:ascii="Times New Roman" w:hAnsi="Times New Roman"/>
        </w:rPr>
        <w:t xml:space="preserve">soluble in the melt in </w:t>
      </w:r>
      <w:r w:rsidR="000D5520">
        <w:rPr>
          <w:rFonts w:ascii="Times New Roman" w:hAnsi="Times New Roman"/>
        </w:rPr>
        <w:t>case 3</w:t>
      </w:r>
      <w:r w:rsidR="0095061F">
        <w:rPr>
          <w:rFonts w:ascii="Times New Roman" w:hAnsi="Times New Roman"/>
        </w:rPr>
        <w:t>’</w:t>
      </w:r>
      <w:r w:rsidR="003F22E0" w:rsidRPr="00892425">
        <w:rPr>
          <w:rFonts w:ascii="Times New Roman" w:hAnsi="Times New Roman"/>
        </w:rPr>
        <w:t xml:space="preserve">, </w:t>
      </w:r>
      <w:r w:rsidR="003F22E0" w:rsidRPr="00892425">
        <w:rPr>
          <w:rFonts w:ascii="Times New Roman" w:hAnsi="Times New Roman"/>
          <w:i/>
          <w:iCs/>
        </w:rPr>
        <w:t>p</w:t>
      </w:r>
      <w:r w:rsidR="003F22E0" w:rsidRPr="00892425">
        <w:rPr>
          <w:rFonts w:ascii="Times New Roman" w:hAnsi="Times New Roman"/>
          <w:vertAlign w:val="subscript"/>
        </w:rPr>
        <w:t>H2S</w:t>
      </w:r>
      <w:r w:rsidR="003F22E0" w:rsidRPr="00892425">
        <w:rPr>
          <w:rFonts w:ascii="Times New Roman" w:hAnsi="Times New Roman"/>
        </w:rPr>
        <w:t xml:space="preserve"> is </w:t>
      </w:r>
      <w:r w:rsidR="0095061F">
        <w:rPr>
          <w:rFonts w:ascii="Times New Roman" w:hAnsi="Times New Roman"/>
        </w:rPr>
        <w:t>higher</w:t>
      </w:r>
      <w:r w:rsidR="003F22E0" w:rsidRPr="00892425">
        <w:rPr>
          <w:rFonts w:ascii="Times New Roman" w:hAnsi="Times New Roman"/>
        </w:rPr>
        <w:t xml:space="preserve"> (for the same value of S-</w:t>
      </w:r>
      <w:proofErr w:type="spellStart"/>
      <w:r w:rsidR="003F22E0" w:rsidRPr="00892425">
        <w:rPr>
          <w:rFonts w:ascii="Times New Roman" w:hAnsi="Times New Roman"/>
        </w:rPr>
        <w:t>eq</w:t>
      </w:r>
      <w:proofErr w:type="spellEnd"/>
      <w:r w:rsidR="003F22E0" w:rsidRPr="00892425">
        <w:rPr>
          <w:rFonts w:ascii="Times New Roman" w:hAnsi="Times New Roman"/>
        </w:rPr>
        <w:t xml:space="preserve">) than </w:t>
      </w:r>
      <w:r>
        <w:rPr>
          <w:rFonts w:ascii="Times New Roman" w:hAnsi="Times New Roman"/>
        </w:rPr>
        <w:t xml:space="preserve">in </w:t>
      </w:r>
      <w:r w:rsidR="003F22E0" w:rsidRPr="00892425">
        <w:rPr>
          <w:rFonts w:ascii="Times New Roman" w:hAnsi="Times New Roman"/>
        </w:rPr>
        <w:t xml:space="preserve">case </w:t>
      </w:r>
      <w:r w:rsidR="000D5520">
        <w:rPr>
          <w:rFonts w:ascii="Times New Roman" w:hAnsi="Times New Roman"/>
        </w:rPr>
        <w:t>3</w:t>
      </w:r>
      <w:r w:rsidR="003F22E0" w:rsidRPr="00892425">
        <w:rPr>
          <w:rFonts w:ascii="Times New Roman" w:hAnsi="Times New Roman"/>
        </w:rPr>
        <w:t xml:space="preserve"> where it </w:t>
      </w:r>
      <w:r w:rsidR="000D5520">
        <w:rPr>
          <w:rFonts w:ascii="Times New Roman" w:hAnsi="Times New Roman"/>
        </w:rPr>
        <w:t>is</w:t>
      </w:r>
      <w:r w:rsidR="003F22E0" w:rsidRPr="00892425">
        <w:rPr>
          <w:rFonts w:ascii="Times New Roman" w:hAnsi="Times New Roman"/>
        </w:rPr>
        <w:t xml:space="preserve"> treated </w:t>
      </w:r>
      <w:r w:rsidR="004358B7">
        <w:rPr>
          <w:rFonts w:ascii="Times New Roman" w:hAnsi="Times New Roman"/>
        </w:rPr>
        <w:t xml:space="preserve">as </w:t>
      </w:r>
      <w:r w:rsidR="003F22E0" w:rsidRPr="00892425">
        <w:rPr>
          <w:rFonts w:ascii="Times New Roman" w:hAnsi="Times New Roman"/>
        </w:rPr>
        <w:t xml:space="preserve">soluble. </w:t>
      </w:r>
      <w:r w:rsidR="0095061F" w:rsidRPr="00892425">
        <w:rPr>
          <w:rFonts w:ascii="Times New Roman" w:hAnsi="Times New Roman"/>
        </w:rPr>
        <w:t>Because H</w:t>
      </w:r>
      <w:r w:rsidR="0095061F" w:rsidRPr="00892425">
        <w:rPr>
          <w:rFonts w:ascii="Times New Roman" w:hAnsi="Times New Roman"/>
          <w:vertAlign w:val="subscript"/>
        </w:rPr>
        <w:t>2</w:t>
      </w:r>
      <w:r w:rsidR="0095061F" w:rsidRPr="00892425">
        <w:rPr>
          <w:rFonts w:ascii="Times New Roman" w:hAnsi="Times New Roman"/>
        </w:rPr>
        <w:t xml:space="preserve">S and OCS are </w:t>
      </w:r>
      <w:r w:rsidR="0095061F">
        <w:rPr>
          <w:rFonts w:ascii="Times New Roman" w:hAnsi="Times New Roman"/>
        </w:rPr>
        <w:t>larger</w:t>
      </w:r>
      <w:r w:rsidR="0095061F" w:rsidRPr="00892425">
        <w:rPr>
          <w:rFonts w:ascii="Times New Roman" w:hAnsi="Times New Roman"/>
        </w:rPr>
        <w:t xml:space="preserve"> </w:t>
      </w:r>
      <w:r w:rsidR="0077697A">
        <w:rPr>
          <w:rFonts w:ascii="Times New Roman" w:hAnsi="Times New Roman"/>
        </w:rPr>
        <w:t>fractions</w:t>
      </w:r>
      <w:r w:rsidR="0095061F" w:rsidRPr="00892425">
        <w:rPr>
          <w:rFonts w:ascii="Times New Roman" w:hAnsi="Times New Roman"/>
        </w:rPr>
        <w:t xml:space="preserve"> of the S-bearing vapor species</w:t>
      </w:r>
      <w:r w:rsidR="0095061F">
        <w:rPr>
          <w:rFonts w:ascii="Times New Roman" w:hAnsi="Times New Roman"/>
        </w:rPr>
        <w:t xml:space="preserve"> in case 3’</w:t>
      </w:r>
      <w:r w:rsidR="0095061F" w:rsidRPr="00892425">
        <w:rPr>
          <w:rFonts w:ascii="Times New Roman" w:hAnsi="Times New Roman"/>
        </w:rPr>
        <w:t xml:space="preserve"> </w:t>
      </w:r>
      <w:r w:rsidR="0077697A">
        <w:rPr>
          <w:rFonts w:ascii="Times New Roman" w:hAnsi="Times New Roman"/>
        </w:rPr>
        <w:t>relative</w:t>
      </w:r>
      <w:r w:rsidR="0095061F" w:rsidRPr="00892425">
        <w:rPr>
          <w:rFonts w:ascii="Times New Roman" w:hAnsi="Times New Roman"/>
        </w:rPr>
        <w:t xml:space="preserve"> to case </w:t>
      </w:r>
      <w:r w:rsidR="0095061F">
        <w:rPr>
          <w:rFonts w:ascii="Times New Roman" w:hAnsi="Times New Roman"/>
        </w:rPr>
        <w:t>3</w:t>
      </w:r>
      <w:r w:rsidR="0095061F" w:rsidRPr="00892425">
        <w:rPr>
          <w:rFonts w:ascii="Times New Roman" w:hAnsi="Times New Roman"/>
        </w:rPr>
        <w:t xml:space="preserve">, the maximum in the sum of the </w:t>
      </w:r>
      <w:r w:rsidR="0095061F" w:rsidRPr="00892425">
        <w:rPr>
          <w:rFonts w:ascii="Times New Roman" w:hAnsi="Times New Roman"/>
          <w:i/>
          <w:iCs/>
        </w:rPr>
        <w:t>p</w:t>
      </w:r>
      <w:r w:rsidR="0095061F" w:rsidRPr="00892425">
        <w:rPr>
          <w:rFonts w:ascii="Times New Roman" w:hAnsi="Times New Roman"/>
          <w:i/>
          <w:iCs/>
          <w:vertAlign w:val="subscript"/>
        </w:rPr>
        <w:t>i</w:t>
      </w:r>
      <w:r w:rsidR="0095061F" w:rsidRPr="00892425">
        <w:rPr>
          <w:rFonts w:ascii="Times New Roman" w:hAnsi="Times New Roman"/>
        </w:rPr>
        <w:t>’s of the S-bearing species</w:t>
      </w:r>
      <w:r w:rsidR="0077697A">
        <w:rPr>
          <w:rFonts w:ascii="Times New Roman" w:hAnsi="Times New Roman"/>
        </w:rPr>
        <w:t xml:space="preserve"> is both displaced to lower </w:t>
      </w:r>
      <w:r w:rsidR="0077697A" w:rsidRPr="0077697A">
        <w:rPr>
          <w:rFonts w:ascii="Times New Roman" w:hAnsi="Times New Roman"/>
          <w:i/>
          <w:iCs/>
        </w:rPr>
        <w:t>f</w:t>
      </w:r>
      <w:r w:rsidR="0077697A" w:rsidRPr="0077697A">
        <w:rPr>
          <w:rFonts w:ascii="Times New Roman" w:hAnsi="Times New Roman"/>
          <w:vertAlign w:val="subscript"/>
        </w:rPr>
        <w:t>O2</w:t>
      </w:r>
      <w:r w:rsidR="0077697A">
        <w:rPr>
          <w:rFonts w:ascii="Times New Roman" w:hAnsi="Times New Roman"/>
        </w:rPr>
        <w:t xml:space="preserve"> and is higher relative</w:t>
      </w:r>
      <w:r w:rsidR="0095061F" w:rsidRPr="00892425">
        <w:rPr>
          <w:rFonts w:ascii="Times New Roman" w:hAnsi="Times New Roman"/>
        </w:rPr>
        <w:t xml:space="preserve"> to the maximum in </w:t>
      </w:r>
      <w:r w:rsidR="0095061F" w:rsidRPr="00892425">
        <w:rPr>
          <w:rFonts w:ascii="Times New Roman" w:hAnsi="Times New Roman"/>
          <w:i/>
          <w:iCs/>
        </w:rPr>
        <w:t>p</w:t>
      </w:r>
      <w:r w:rsidR="0095061F" w:rsidRPr="00892425">
        <w:rPr>
          <w:rFonts w:ascii="Times New Roman" w:hAnsi="Times New Roman"/>
          <w:vertAlign w:val="subscript"/>
        </w:rPr>
        <w:t>SO2</w:t>
      </w:r>
      <w:r w:rsidR="0077697A">
        <w:rPr>
          <w:rFonts w:ascii="Times New Roman" w:hAnsi="Times New Roman"/>
        </w:rPr>
        <w:t xml:space="preserve"> in case 3’ relative to case 3.</w:t>
      </w:r>
      <w:r w:rsidR="0095061F" w:rsidRPr="00892425">
        <w:rPr>
          <w:rFonts w:ascii="Times New Roman" w:hAnsi="Times New Roman"/>
        </w:rPr>
        <w:t xml:space="preserve"> Th</w:t>
      </w:r>
      <w:r w:rsidR="0095061F">
        <w:rPr>
          <w:rFonts w:ascii="Times New Roman" w:hAnsi="Times New Roman"/>
        </w:rPr>
        <w:t>ere is</w:t>
      </w:r>
      <w:r w:rsidR="0095061F" w:rsidRPr="00892425">
        <w:rPr>
          <w:rFonts w:ascii="Times New Roman" w:hAnsi="Times New Roman"/>
        </w:rPr>
        <w:t xml:space="preserve"> </w:t>
      </w:r>
      <w:r w:rsidR="0077697A">
        <w:rPr>
          <w:rFonts w:ascii="Times New Roman" w:hAnsi="Times New Roman"/>
        </w:rPr>
        <w:t xml:space="preserve">also </w:t>
      </w:r>
      <w:r w:rsidR="0095061F" w:rsidRPr="00892425">
        <w:rPr>
          <w:rFonts w:ascii="Times New Roman" w:hAnsi="Times New Roman"/>
        </w:rPr>
        <w:t xml:space="preserve">a </w:t>
      </w:r>
      <w:r w:rsidR="0095061F">
        <w:rPr>
          <w:rFonts w:ascii="Times New Roman" w:hAnsi="Times New Roman"/>
        </w:rPr>
        <w:t>larger</w:t>
      </w:r>
      <w:r w:rsidR="0095061F" w:rsidRPr="00892425">
        <w:rPr>
          <w:rFonts w:ascii="Times New Roman" w:hAnsi="Times New Roman"/>
        </w:rPr>
        <w:t xml:space="preserve"> shift between the maxima in the sum of the </w:t>
      </w:r>
      <w:r w:rsidR="0095061F" w:rsidRPr="00892425">
        <w:rPr>
          <w:rFonts w:ascii="Times New Roman" w:hAnsi="Times New Roman"/>
          <w:i/>
          <w:iCs/>
        </w:rPr>
        <w:t>p</w:t>
      </w:r>
      <w:r w:rsidR="0095061F" w:rsidRPr="00892425">
        <w:rPr>
          <w:rFonts w:ascii="Times New Roman" w:hAnsi="Times New Roman"/>
          <w:i/>
          <w:iCs/>
          <w:vertAlign w:val="subscript"/>
        </w:rPr>
        <w:t>i</w:t>
      </w:r>
      <w:r w:rsidR="0095061F" w:rsidRPr="00892425">
        <w:rPr>
          <w:rFonts w:ascii="Times New Roman" w:hAnsi="Times New Roman"/>
        </w:rPr>
        <w:t xml:space="preserve">’s of the S-bearing species and </w:t>
      </w:r>
      <w:r w:rsidR="0095061F" w:rsidRPr="00892425">
        <w:rPr>
          <w:rFonts w:ascii="Times New Roman" w:hAnsi="Times New Roman"/>
          <w:color w:val="000000" w:themeColor="text1"/>
        </w:rPr>
        <w:sym w:font="Symbol" w:char="F044"/>
      </w:r>
      <w:proofErr w:type="spellStart"/>
      <w:r w:rsidR="0095061F" w:rsidRPr="00892425">
        <w:rPr>
          <w:rFonts w:ascii="Times New Roman" w:hAnsi="Times New Roman"/>
          <w:i/>
          <w:iCs/>
        </w:rPr>
        <w:t>P</w:t>
      </w:r>
      <w:r w:rsidR="0095061F" w:rsidRPr="00892425">
        <w:rPr>
          <w:rFonts w:ascii="Times New Roman" w:hAnsi="Times New Roman"/>
          <w:i/>
          <w:iCs/>
          <w:vertAlign w:val="superscript"/>
        </w:rPr>
        <w:t>v</w:t>
      </w:r>
      <w:r w:rsidR="0095061F" w:rsidRPr="00892425">
        <w:rPr>
          <w:rFonts w:ascii="Times New Roman" w:hAnsi="Times New Roman"/>
          <w:vertAlign w:val="subscript"/>
        </w:rPr>
        <w:t>sat</w:t>
      </w:r>
      <w:proofErr w:type="spellEnd"/>
      <w:r w:rsidR="0095061F" w:rsidRPr="00892425">
        <w:rPr>
          <w:rFonts w:ascii="Times New Roman" w:hAnsi="Times New Roman"/>
        </w:rPr>
        <w:t xml:space="preserve"> </w:t>
      </w:r>
      <w:r w:rsidR="0095061F">
        <w:rPr>
          <w:rFonts w:ascii="Times New Roman" w:hAnsi="Times New Roman"/>
        </w:rPr>
        <w:t xml:space="preserve">in case 3’ </w:t>
      </w:r>
      <w:r w:rsidR="0077697A">
        <w:rPr>
          <w:rFonts w:ascii="Times New Roman" w:hAnsi="Times New Roman"/>
        </w:rPr>
        <w:t xml:space="preserve">relative </w:t>
      </w:r>
      <w:r w:rsidR="0095061F">
        <w:rPr>
          <w:rFonts w:ascii="Times New Roman" w:hAnsi="Times New Roman"/>
        </w:rPr>
        <w:t>to case 3. Hence, the solubility of H</w:t>
      </w:r>
      <w:r w:rsidR="0095061F" w:rsidRPr="00B016E9">
        <w:rPr>
          <w:rFonts w:ascii="Times New Roman" w:hAnsi="Times New Roman"/>
          <w:vertAlign w:val="subscript"/>
        </w:rPr>
        <w:t>2</w:t>
      </w:r>
      <w:r w:rsidR="0095061F">
        <w:rPr>
          <w:rFonts w:ascii="Times New Roman" w:hAnsi="Times New Roman"/>
        </w:rPr>
        <w:t>S</w:t>
      </w:r>
      <w:r w:rsidR="0095061F" w:rsidRPr="00B016E9">
        <w:rPr>
          <w:rFonts w:ascii="Times New Roman" w:hAnsi="Times New Roman"/>
          <w:vertAlign w:val="subscript"/>
        </w:rPr>
        <w:t>mol</w:t>
      </w:r>
      <w:r w:rsidR="0095061F">
        <w:rPr>
          <w:rFonts w:ascii="Times New Roman" w:hAnsi="Times New Roman"/>
        </w:rPr>
        <w:t xml:space="preserve"> </w:t>
      </w:r>
      <w:r w:rsidR="009259DA">
        <w:rPr>
          <w:rFonts w:ascii="Times New Roman" w:hAnsi="Times New Roman"/>
        </w:rPr>
        <w:t>influences</w:t>
      </w:r>
      <w:r w:rsidR="0095061F">
        <w:rPr>
          <w:rFonts w:ascii="Times New Roman" w:hAnsi="Times New Roman"/>
        </w:rPr>
        <w:t xml:space="preserve"> the position and magnitude of the </w:t>
      </w:r>
      <w:proofErr w:type="spellStart"/>
      <w:r w:rsidR="0095061F">
        <w:rPr>
          <w:rFonts w:ascii="Times New Roman" w:hAnsi="Times New Roman"/>
        </w:rPr>
        <w:t>sulfur</w:t>
      </w:r>
      <w:proofErr w:type="spellEnd"/>
      <w:r w:rsidR="0095061F">
        <w:rPr>
          <w:rFonts w:ascii="Times New Roman" w:hAnsi="Times New Roman"/>
        </w:rPr>
        <w:t xml:space="preserve"> solubility minimum.</w:t>
      </w:r>
      <w:r w:rsidR="0095061F" w:rsidRPr="00892425">
        <w:rPr>
          <w:rFonts w:ascii="Times New Roman" w:hAnsi="Times New Roman"/>
        </w:rPr>
        <w:t xml:space="preserve"> </w:t>
      </w:r>
    </w:p>
    <w:p w14:paraId="063512AC" w14:textId="77777777" w:rsidR="00C746E2" w:rsidRDefault="00C746E2">
      <w:pPr>
        <w:ind w:firstLine="720"/>
        <w:jc w:val="both"/>
        <w:rPr>
          <w:rFonts w:ascii="Times New Roman" w:hAnsi="Times New Roman"/>
        </w:rPr>
      </w:pPr>
    </w:p>
    <w:p w14:paraId="7C1CFBBA" w14:textId="25B412C8" w:rsidR="00C746E2" w:rsidRDefault="00B43D5A" w:rsidP="000D5520">
      <w:pPr>
        <w:keepNext/>
        <w:jc w:val="center"/>
      </w:pPr>
      <w:r w:rsidRPr="00B43D5A">
        <w:rPr>
          <w:rFonts w:ascii="Times New Roman" w:hAnsi="Times New Roman"/>
          <w:b/>
          <w:bCs/>
          <w:noProof/>
        </w:rPr>
        <w:drawing>
          <wp:inline distT="0" distB="0" distL="0" distR="0" wp14:anchorId="7D567E44" wp14:editId="736AE5CB">
            <wp:extent cx="5731200" cy="1865530"/>
            <wp:effectExtent l="0" t="0" r="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579" t="17728" r="6821" b="8537"/>
                    <a:stretch/>
                  </pic:blipFill>
                  <pic:spPr bwMode="auto">
                    <a:xfrm>
                      <a:off x="0" y="0"/>
                      <a:ext cx="5731200" cy="1865530"/>
                    </a:xfrm>
                    <a:prstGeom prst="rect">
                      <a:avLst/>
                    </a:prstGeom>
                    <a:ln>
                      <a:noFill/>
                    </a:ln>
                    <a:extLst>
                      <a:ext uri="{53640926-AAD7-44D8-BBD7-CCE9431645EC}">
                        <a14:shadowObscured xmlns:a14="http://schemas.microsoft.com/office/drawing/2010/main"/>
                      </a:ext>
                    </a:extLst>
                  </pic:spPr>
                </pic:pic>
              </a:graphicData>
            </a:graphic>
          </wp:inline>
        </w:drawing>
      </w:r>
    </w:p>
    <w:p w14:paraId="7FB5BD61" w14:textId="537BE242" w:rsidR="00C746E2" w:rsidRPr="0095061F" w:rsidRDefault="00C746E2" w:rsidP="0095061F">
      <w:pPr>
        <w:pStyle w:val="Caption"/>
        <w:ind w:firstLine="0"/>
        <w:rPr>
          <w:rFonts w:ascii="Times New Roman" w:hAnsi="Times New Roman"/>
          <w:b/>
          <w:bCs/>
        </w:rPr>
      </w:pPr>
      <w:bookmarkStart w:id="29" w:name="_Ref127370756"/>
      <w:r w:rsidRPr="004358B7">
        <w:rPr>
          <w:color w:val="000000" w:themeColor="text1"/>
          <w:sz w:val="24"/>
          <w:szCs w:val="24"/>
        </w:rPr>
        <w:t>Figure S</w:t>
      </w:r>
      <w:r w:rsidRPr="004358B7">
        <w:rPr>
          <w:color w:val="000000" w:themeColor="text1"/>
          <w:sz w:val="24"/>
          <w:szCs w:val="24"/>
        </w:rPr>
        <w:fldChar w:fldCharType="begin"/>
      </w:r>
      <w:r w:rsidRPr="004358B7">
        <w:rPr>
          <w:color w:val="000000" w:themeColor="text1"/>
          <w:sz w:val="24"/>
          <w:szCs w:val="24"/>
        </w:rPr>
        <w:instrText xml:space="preserve"> SEQ Figure \* ARABIC </w:instrText>
      </w:r>
      <w:r w:rsidRPr="004358B7">
        <w:rPr>
          <w:color w:val="000000" w:themeColor="text1"/>
          <w:sz w:val="24"/>
          <w:szCs w:val="24"/>
        </w:rPr>
        <w:fldChar w:fldCharType="separate"/>
      </w:r>
      <w:r w:rsidR="009E5695">
        <w:rPr>
          <w:noProof/>
          <w:color w:val="000000" w:themeColor="text1"/>
          <w:sz w:val="24"/>
          <w:szCs w:val="24"/>
        </w:rPr>
        <w:t>14</w:t>
      </w:r>
      <w:r w:rsidRPr="004358B7">
        <w:rPr>
          <w:color w:val="000000" w:themeColor="text1"/>
          <w:sz w:val="24"/>
          <w:szCs w:val="24"/>
        </w:rPr>
        <w:fldChar w:fldCharType="end"/>
      </w:r>
      <w:bookmarkEnd w:id="29"/>
      <w:r w:rsidRPr="004358B7">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Variations with log</w:t>
      </w:r>
      <w:r w:rsidRPr="00892425">
        <w:rPr>
          <w:rFonts w:ascii="Times New Roman" w:hAnsi="Times New Roman"/>
          <w:i w:val="0"/>
          <w:iCs w:val="0"/>
          <w:color w:val="000000" w:themeColor="text1"/>
          <w:sz w:val="24"/>
          <w:szCs w:val="24"/>
          <w:vertAlign w:val="subscript"/>
        </w:rPr>
        <w:t>10</w:t>
      </w:r>
      <w:r w:rsidRPr="00892425">
        <w:rPr>
          <w:rFonts w:ascii="Times New Roman" w:hAnsi="Times New Roman"/>
          <w:i w:val="0"/>
          <w:iCs w:val="0"/>
          <w:color w:val="000000" w:themeColor="text1"/>
          <w:sz w:val="24"/>
          <w:szCs w:val="24"/>
        </w:rPr>
        <w:t>(</w:t>
      </w:r>
      <w:r w:rsidRPr="00892425">
        <w:rPr>
          <w:rFonts w:ascii="Times New Roman" w:hAnsi="Times New Roman"/>
          <w:color w:val="000000" w:themeColor="text1"/>
          <w:sz w:val="24"/>
          <w:szCs w:val="24"/>
        </w:rPr>
        <w:t>f</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xml:space="preserve">) for a </w:t>
      </w:r>
      <w:r>
        <w:rPr>
          <w:rFonts w:ascii="Times New Roman" w:hAnsi="Times New Roman"/>
          <w:i w:val="0"/>
          <w:iCs w:val="0"/>
          <w:color w:val="000000" w:themeColor="text1"/>
          <w:sz w:val="24"/>
          <w:szCs w:val="24"/>
        </w:rPr>
        <w:t xml:space="preserve">Hawaiian tholeiitic </w:t>
      </w:r>
      <w:r w:rsidRPr="00892425">
        <w:rPr>
          <w:rFonts w:ascii="Times New Roman" w:hAnsi="Times New Roman"/>
          <w:i w:val="0"/>
          <w:iCs w:val="0"/>
          <w:color w:val="000000" w:themeColor="text1"/>
          <w:sz w:val="24"/>
          <w:szCs w:val="24"/>
        </w:rPr>
        <w:t xml:space="preserve">melt </w:t>
      </w:r>
      <w:r>
        <w:rPr>
          <w:rFonts w:ascii="Times New Roman" w:hAnsi="Times New Roman"/>
          <w:i w:val="0"/>
          <w:iCs w:val="0"/>
          <w:color w:val="000000" w:themeColor="text1"/>
          <w:sz w:val="24"/>
          <w:szCs w:val="24"/>
        </w:rPr>
        <w:t xml:space="preserve">at 1200 </w:t>
      </w:r>
      <w:r w:rsidRPr="00723CE1">
        <w:rPr>
          <w:rFonts w:ascii="Times New Roman" w:hAnsi="Times New Roman"/>
          <w:i w:val="0"/>
          <w:iCs w:val="0"/>
          <w:color w:val="000000" w:themeColor="text1"/>
          <w:sz w:val="24"/>
          <w:szCs w:val="24"/>
        </w:rPr>
        <w:t>°C</w:t>
      </w:r>
      <w:r w:rsidRPr="00D968B6">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with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O-eq = 3 </w:t>
      </w:r>
      <w:proofErr w:type="spellStart"/>
      <w:r w:rsidRPr="00892425">
        <w:rPr>
          <w:rFonts w:ascii="Times New Roman" w:hAnsi="Times New Roman"/>
          <w:i w:val="0"/>
          <w:iCs w:val="0"/>
          <w:color w:val="000000" w:themeColor="text1"/>
          <w:sz w:val="24"/>
          <w:szCs w:val="24"/>
        </w:rPr>
        <w:t>wt</w:t>
      </w:r>
      <w:proofErr w:type="spellEnd"/>
      <w:r w:rsidRPr="00892425">
        <w:rPr>
          <w:rFonts w:ascii="Times New Roman" w:hAnsi="Times New Roman"/>
          <w:i w:val="0"/>
          <w:iCs w:val="0"/>
          <w:color w:val="000000" w:themeColor="text1"/>
          <w:sz w:val="24"/>
          <w:szCs w:val="24"/>
        </w:rPr>
        <w:t>%, 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-eq</w:t>
      </w:r>
      <w:r w:rsidRPr="00892425" w:rsidDel="00BE1F05">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 1000 ppm, and S-</w:t>
      </w:r>
      <w:proofErr w:type="spellStart"/>
      <w:r w:rsidRPr="00892425">
        <w:rPr>
          <w:rFonts w:ascii="Times New Roman" w:hAnsi="Times New Roman"/>
          <w:i w:val="0"/>
          <w:iCs w:val="0"/>
          <w:color w:val="000000" w:themeColor="text1"/>
          <w:sz w:val="24"/>
          <w:szCs w:val="24"/>
        </w:rPr>
        <w:t>eq</w:t>
      </w:r>
      <w:proofErr w:type="spellEnd"/>
      <w:r w:rsidRPr="00892425">
        <w:rPr>
          <w:rFonts w:ascii="Times New Roman" w:hAnsi="Times New Roman"/>
          <w:i w:val="0"/>
          <w:iCs w:val="0"/>
          <w:color w:val="000000" w:themeColor="text1"/>
          <w:sz w:val="24"/>
          <w:szCs w:val="24"/>
        </w:rPr>
        <w:t xml:space="preserve"> 1000 ppm</w:t>
      </w:r>
      <w:r w:rsidR="00B43D5A">
        <w:rPr>
          <w:rFonts w:ascii="Times New Roman" w:hAnsi="Times New Roman"/>
          <w:i w:val="0"/>
          <w:iCs w:val="0"/>
          <w:color w:val="000000" w:themeColor="text1"/>
          <w:sz w:val="24"/>
          <w:szCs w:val="24"/>
        </w:rPr>
        <w:t xml:space="preserve"> for </w:t>
      </w:r>
      <w:r w:rsidR="00B43D5A" w:rsidRPr="00B43D5A">
        <w:rPr>
          <w:rFonts w:ascii="Times New Roman" w:hAnsi="Times New Roman"/>
          <w:b/>
          <w:bCs/>
          <w:i w:val="0"/>
          <w:iCs w:val="0"/>
          <w:color w:val="000000" w:themeColor="text1"/>
          <w:sz w:val="24"/>
          <w:szCs w:val="24"/>
        </w:rPr>
        <w:t>(a)</w:t>
      </w:r>
      <w:r w:rsidR="00B43D5A">
        <w:rPr>
          <w:rFonts w:ascii="Times New Roman" w:hAnsi="Times New Roman"/>
          <w:i w:val="0"/>
          <w:iCs w:val="0"/>
          <w:color w:val="000000" w:themeColor="text1"/>
          <w:sz w:val="24"/>
          <w:szCs w:val="24"/>
        </w:rPr>
        <w:t xml:space="preserve"> case 3 and </w:t>
      </w:r>
      <w:r w:rsidR="00B43D5A" w:rsidRPr="00B43D5A">
        <w:rPr>
          <w:rFonts w:ascii="Times New Roman" w:hAnsi="Times New Roman"/>
          <w:b/>
          <w:bCs/>
          <w:i w:val="0"/>
          <w:iCs w:val="0"/>
          <w:color w:val="000000" w:themeColor="text1"/>
          <w:sz w:val="24"/>
          <w:szCs w:val="24"/>
        </w:rPr>
        <w:t>(b)</w:t>
      </w:r>
      <w:r w:rsidR="00B43D5A">
        <w:rPr>
          <w:rFonts w:ascii="Times New Roman" w:hAnsi="Times New Roman"/>
          <w:i w:val="0"/>
          <w:iCs w:val="0"/>
          <w:color w:val="000000" w:themeColor="text1"/>
          <w:sz w:val="24"/>
          <w:szCs w:val="24"/>
        </w:rPr>
        <w:t xml:space="preserve"> case 3’</w:t>
      </w:r>
      <w:r>
        <w:rPr>
          <w:rFonts w:ascii="Times New Roman" w:hAnsi="Times New Roman"/>
          <w:i w:val="0"/>
          <w:iCs w:val="0"/>
          <w:color w:val="000000" w:themeColor="text1"/>
          <w:sz w:val="24"/>
          <w:szCs w:val="24"/>
        </w:rPr>
        <w:t xml:space="preserve"> </w:t>
      </w:r>
      <w:r w:rsidRPr="00892425">
        <w:rPr>
          <w:rFonts w:ascii="Times New Roman" w:hAnsi="Times New Roman"/>
          <w:i w:val="0"/>
          <w:iCs w:val="0"/>
          <w:color w:val="000000" w:themeColor="text1"/>
          <w:sz w:val="24"/>
          <w:szCs w:val="24"/>
        </w:rPr>
        <w:t>of the partial pressures of individual S-bearing vapor species (S</w:t>
      </w:r>
      <w:r w:rsidRPr="00892425">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 xml:space="preserve"> – dash</w:t>
      </w:r>
      <w:r w:rsidRPr="00892425">
        <w:rPr>
          <w:rFonts w:ascii="Times New Roman" w:hAnsi="Times New Roman"/>
          <w:i w:val="0"/>
          <w:iCs w:val="0"/>
          <w:color w:val="000000" w:themeColor="text1"/>
          <w:sz w:val="24"/>
          <w:szCs w:val="24"/>
        </w:rPr>
        <w:t>, SO</w:t>
      </w:r>
      <w:r w:rsidRPr="00892425">
        <w:rPr>
          <w:rFonts w:ascii="Times New Roman" w:hAnsi="Times New Roman"/>
          <w:i w:val="0"/>
          <w:iCs w:val="0"/>
          <w:color w:val="000000" w:themeColor="text1"/>
          <w:sz w:val="24"/>
          <w:szCs w:val="24"/>
          <w:vertAlign w:val="subscript"/>
        </w:rPr>
        <w:t>2</w:t>
      </w:r>
      <w:r>
        <w:rPr>
          <w:rFonts w:ascii="Times New Roman" w:hAnsi="Times New Roman"/>
          <w:i w:val="0"/>
          <w:iCs w:val="0"/>
          <w:color w:val="000000" w:themeColor="text1"/>
          <w:sz w:val="24"/>
          <w:szCs w:val="24"/>
        </w:rPr>
        <w:t xml:space="preserve"> – solid</w:t>
      </w:r>
      <w:r w:rsidRPr="00892425">
        <w:rPr>
          <w:rFonts w:ascii="Times New Roman" w:hAnsi="Times New Roman"/>
          <w:i w:val="0"/>
          <w:iCs w:val="0"/>
          <w:color w:val="000000" w:themeColor="text1"/>
          <w:sz w:val="24"/>
          <w:szCs w:val="24"/>
        </w:rPr>
        <w:t>, and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S</w:t>
      </w:r>
      <w:r>
        <w:rPr>
          <w:rFonts w:ascii="Times New Roman" w:hAnsi="Times New Roman"/>
          <w:i w:val="0"/>
          <w:iCs w:val="0"/>
          <w:color w:val="000000" w:themeColor="text1"/>
          <w:sz w:val="24"/>
          <w:szCs w:val="24"/>
        </w:rPr>
        <w:t xml:space="preserve"> – dot</w:t>
      </w:r>
      <w:r w:rsidRPr="00892425">
        <w:rPr>
          <w:rFonts w:ascii="Times New Roman" w:hAnsi="Times New Roman"/>
          <w:i w:val="0"/>
          <w:iCs w:val="0"/>
          <w:color w:val="000000" w:themeColor="text1"/>
          <w:sz w:val="24"/>
          <w:szCs w:val="24"/>
        </w:rPr>
        <w:t xml:space="preserve"> in yellow; OCS in blue</w:t>
      </w:r>
      <w:r>
        <w:rPr>
          <w:rFonts w:ascii="Times New Roman" w:hAnsi="Times New Roman"/>
          <w:i w:val="0"/>
          <w:iCs w:val="0"/>
          <w:color w:val="000000" w:themeColor="text1"/>
          <w:sz w:val="24"/>
          <w:szCs w:val="24"/>
        </w:rPr>
        <w:t xml:space="preserve"> dash</w:t>
      </w:r>
      <w:r w:rsidRPr="00892425">
        <w:rPr>
          <w:rFonts w:ascii="Times New Roman" w:hAnsi="Times New Roman"/>
          <w:i w:val="0"/>
          <w:iCs w:val="0"/>
          <w:color w:val="000000" w:themeColor="text1"/>
          <w:sz w:val="24"/>
          <w:szCs w:val="24"/>
        </w:rPr>
        <w:t xml:space="preserve">), their sum (ΣS-species =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S2</w:t>
      </w:r>
      <w:r w:rsidRPr="00892425">
        <w:rPr>
          <w:rFonts w:ascii="Times New Roman" w:hAnsi="Times New Roman"/>
          <w:i w:val="0"/>
          <w:iCs w:val="0"/>
          <w:color w:val="000000" w:themeColor="text1"/>
          <w:sz w:val="24"/>
          <w:szCs w:val="24"/>
        </w:rPr>
        <w:t xml:space="preserve"> +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SO2</w:t>
      </w:r>
      <w:r w:rsidRPr="00892425">
        <w:rPr>
          <w:rFonts w:ascii="Times New Roman" w:hAnsi="Times New Roman"/>
          <w:i w:val="0"/>
          <w:iCs w:val="0"/>
          <w:color w:val="000000" w:themeColor="text1"/>
          <w:sz w:val="24"/>
          <w:szCs w:val="24"/>
        </w:rPr>
        <w:t xml:space="preserve"> +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H2S</w:t>
      </w:r>
      <w:r w:rsidRPr="00892425">
        <w:rPr>
          <w:rFonts w:ascii="Times New Roman" w:hAnsi="Times New Roman"/>
          <w:i w:val="0"/>
          <w:iCs w:val="0"/>
          <w:color w:val="000000" w:themeColor="text1"/>
          <w:sz w:val="24"/>
          <w:szCs w:val="24"/>
        </w:rPr>
        <w:t xml:space="preserve"> + </w:t>
      </w:r>
      <w:proofErr w:type="spellStart"/>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OCS</w:t>
      </w:r>
      <w:proofErr w:type="spellEnd"/>
      <w:r w:rsidRPr="00892425">
        <w:rPr>
          <w:rFonts w:ascii="Times New Roman" w:hAnsi="Times New Roman"/>
          <w:i w:val="0"/>
          <w:iCs w:val="0"/>
          <w:color w:val="000000" w:themeColor="text1"/>
          <w:sz w:val="24"/>
          <w:szCs w:val="24"/>
        </w:rPr>
        <w:t xml:space="preserve"> in solid black), </w:t>
      </w:r>
      <w:proofErr w:type="spellStart"/>
      <w:r w:rsidRPr="00892425">
        <w:rPr>
          <w:rFonts w:ascii="Times New Roman" w:hAnsi="Times New Roman"/>
          <w:i w:val="0"/>
          <w:iCs w:val="0"/>
          <w:color w:val="000000" w:themeColor="text1"/>
          <w:sz w:val="24"/>
          <w:szCs w:val="24"/>
        </w:rPr>
        <w:t>Δ</w:t>
      </w:r>
      <w:r w:rsidRPr="00892425">
        <w:rPr>
          <w:rFonts w:ascii="Times New Roman" w:hAnsi="Times New Roman"/>
          <w:color w:val="000000" w:themeColor="text1"/>
          <w:sz w:val="24"/>
          <w:szCs w:val="24"/>
        </w:rPr>
        <w:t>P</w:t>
      </w:r>
      <w:r w:rsidRPr="00892425">
        <w:rPr>
          <w:rFonts w:ascii="Times New Roman" w:hAnsi="Times New Roman"/>
          <w:color w:val="000000" w:themeColor="text1"/>
          <w:sz w:val="24"/>
          <w:szCs w:val="24"/>
          <w:vertAlign w:val="superscript"/>
        </w:rPr>
        <w:t>v</w:t>
      </w:r>
      <w:r w:rsidRPr="00892425">
        <w:rPr>
          <w:rFonts w:ascii="Times New Roman" w:hAnsi="Times New Roman"/>
          <w:i w:val="0"/>
          <w:iCs w:val="0"/>
          <w:color w:val="000000" w:themeColor="text1"/>
          <w:sz w:val="24"/>
          <w:szCs w:val="24"/>
          <w:vertAlign w:val="subscript"/>
        </w:rPr>
        <w:t>sat</w:t>
      </w:r>
      <w:proofErr w:type="spellEnd"/>
      <w:r>
        <w:rPr>
          <w:rFonts w:ascii="Times New Roman" w:hAnsi="Times New Roman"/>
          <w:i w:val="0"/>
          <w:iCs w:val="0"/>
          <w:color w:val="000000" w:themeColor="text1"/>
          <w:sz w:val="24"/>
          <w:szCs w:val="24"/>
        </w:rPr>
        <w:t xml:space="preserve"> (dash black), </w:t>
      </w:r>
      <w:r w:rsidRPr="00892425">
        <w:rPr>
          <w:rFonts w:ascii="Times New Roman" w:hAnsi="Times New Roman"/>
          <w:i w:val="0"/>
          <w:iCs w:val="0"/>
          <w:color w:val="000000" w:themeColor="text1"/>
          <w:sz w:val="24"/>
          <w:szCs w:val="24"/>
        </w:rPr>
        <w:t xml:space="preserve">and </w:t>
      </w:r>
      <w:proofErr w:type="spellStart"/>
      <w:r w:rsidRPr="00892425">
        <w:rPr>
          <w:rFonts w:ascii="Times New Roman" w:hAnsi="Times New Roman"/>
          <w:color w:val="000000" w:themeColor="text1"/>
          <w:sz w:val="24"/>
          <w:szCs w:val="24"/>
        </w:rPr>
        <w:t>P</w:t>
      </w:r>
      <w:r w:rsidRPr="00892425">
        <w:rPr>
          <w:rFonts w:ascii="Times New Roman" w:hAnsi="Times New Roman"/>
          <w:color w:val="000000" w:themeColor="text1"/>
          <w:sz w:val="24"/>
          <w:szCs w:val="24"/>
          <w:vertAlign w:val="superscript"/>
        </w:rPr>
        <w:t>v</w:t>
      </w:r>
      <w:r w:rsidRPr="00892425">
        <w:rPr>
          <w:rFonts w:ascii="Times New Roman" w:hAnsi="Times New Roman"/>
          <w:i w:val="0"/>
          <w:iCs w:val="0"/>
          <w:color w:val="000000" w:themeColor="text1"/>
          <w:sz w:val="24"/>
          <w:szCs w:val="24"/>
          <w:vertAlign w:val="subscript"/>
        </w:rPr>
        <w:t>sat</w:t>
      </w:r>
      <w:proofErr w:type="spellEnd"/>
      <w:r w:rsidRPr="00892425">
        <w:rPr>
          <w:rFonts w:ascii="Times New Roman" w:hAnsi="Times New Roman"/>
          <w:i w:val="0"/>
          <w:iCs w:val="0"/>
          <w:color w:val="000000" w:themeColor="text1"/>
          <w:sz w:val="24"/>
          <w:szCs w:val="24"/>
        </w:rPr>
        <w:t xml:space="preserve">[case </w:t>
      </w:r>
      <w:r>
        <w:rPr>
          <w:rFonts w:ascii="Times New Roman" w:hAnsi="Times New Roman"/>
          <w:i w:val="0"/>
          <w:iCs w:val="0"/>
          <w:color w:val="000000" w:themeColor="text1"/>
          <w:sz w:val="24"/>
          <w:szCs w:val="24"/>
        </w:rPr>
        <w:t>4</w:t>
      </w:r>
      <w:r w:rsidRPr="00892425">
        <w:rPr>
          <w:rFonts w:ascii="Times New Roman" w:hAnsi="Times New Roman"/>
          <w:i w:val="0"/>
          <w:iCs w:val="0"/>
          <w:color w:val="000000" w:themeColor="text1"/>
          <w:sz w:val="24"/>
          <w:szCs w:val="24"/>
        </w:rPr>
        <w:t>] (</w:t>
      </w:r>
      <w:r>
        <w:rPr>
          <w:rFonts w:ascii="Times New Roman" w:hAnsi="Times New Roman"/>
          <w:i w:val="0"/>
          <w:iCs w:val="0"/>
          <w:color w:val="000000" w:themeColor="text1"/>
          <w:sz w:val="24"/>
          <w:szCs w:val="24"/>
        </w:rPr>
        <w:t xml:space="preserve">[S-O] = </w:t>
      </w:r>
      <w:r w:rsidRPr="00892425">
        <w:rPr>
          <w:rFonts w:ascii="Times New Roman" w:hAnsi="Times New Roman"/>
          <w:i w:val="0"/>
          <w:iCs w:val="0"/>
          <w:color w:val="000000" w:themeColor="text1"/>
          <w:sz w:val="24"/>
          <w:szCs w:val="24"/>
        </w:rPr>
        <w:t xml:space="preserve">grey; i.e.,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S2</w:t>
      </w:r>
      <w:r w:rsidRPr="00892425">
        <w:rPr>
          <w:rFonts w:ascii="Times New Roman" w:hAnsi="Times New Roman"/>
          <w:i w:val="0"/>
          <w:iCs w:val="0"/>
          <w:color w:val="000000" w:themeColor="text1"/>
          <w:sz w:val="24"/>
          <w:szCs w:val="24"/>
        </w:rPr>
        <w:t xml:space="preserve"> +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SO2</w:t>
      </w:r>
      <w:r w:rsidRPr="00892425">
        <w:rPr>
          <w:rFonts w:ascii="Times New Roman" w:hAnsi="Times New Roman"/>
          <w:i w:val="0"/>
          <w:iCs w:val="0"/>
          <w:color w:val="000000" w:themeColor="text1"/>
          <w:sz w:val="24"/>
          <w:szCs w:val="24"/>
        </w:rPr>
        <w:t xml:space="preserve"> + </w:t>
      </w:r>
      <w:r w:rsidRPr="00892425">
        <w:rPr>
          <w:rFonts w:ascii="Times New Roman" w:hAnsi="Times New Roman"/>
          <w:color w:val="000000" w:themeColor="text1"/>
          <w:sz w:val="24"/>
          <w:szCs w:val="24"/>
        </w:rPr>
        <w:t>p</w:t>
      </w:r>
      <w:r w:rsidRPr="00892425">
        <w:rPr>
          <w:rFonts w:ascii="Times New Roman" w:hAnsi="Times New Roman"/>
          <w:i w:val="0"/>
          <w:iCs w:val="0"/>
          <w:color w:val="000000" w:themeColor="text1"/>
          <w:sz w:val="24"/>
          <w:szCs w:val="24"/>
          <w:vertAlign w:val="subscript"/>
        </w:rPr>
        <w:t>O2</w:t>
      </w:r>
      <w:r w:rsidRPr="00892425">
        <w:rPr>
          <w:rFonts w:ascii="Times New Roman" w:hAnsi="Times New Roman"/>
          <w:i w:val="0"/>
          <w:iCs w:val="0"/>
          <w:color w:val="000000" w:themeColor="text1"/>
          <w:sz w:val="24"/>
          <w:szCs w:val="24"/>
        </w:rPr>
        <w:t xml:space="preserve"> for S-</w:t>
      </w:r>
      <w:proofErr w:type="spellStart"/>
      <w:r w:rsidRPr="00892425">
        <w:rPr>
          <w:rFonts w:ascii="Times New Roman" w:hAnsi="Times New Roman"/>
          <w:i w:val="0"/>
          <w:iCs w:val="0"/>
          <w:color w:val="000000" w:themeColor="text1"/>
          <w:sz w:val="24"/>
          <w:szCs w:val="24"/>
        </w:rPr>
        <w:t>eq</w:t>
      </w:r>
      <w:proofErr w:type="spellEnd"/>
      <w:r w:rsidRPr="00892425">
        <w:rPr>
          <w:rFonts w:ascii="Times New Roman" w:hAnsi="Times New Roman"/>
          <w:i w:val="0"/>
          <w:iCs w:val="0"/>
          <w:color w:val="000000" w:themeColor="text1"/>
          <w:sz w:val="24"/>
          <w:szCs w:val="24"/>
        </w:rPr>
        <w:t xml:space="preserve"> = 1000 ppm, CO</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-eq = 0 ppm, and H</w:t>
      </w:r>
      <w:r w:rsidRPr="00892425">
        <w:rPr>
          <w:rFonts w:ascii="Times New Roman" w:hAnsi="Times New Roman"/>
          <w:i w:val="0"/>
          <w:iCs w:val="0"/>
          <w:color w:val="000000" w:themeColor="text1"/>
          <w:sz w:val="24"/>
          <w:szCs w:val="24"/>
          <w:vertAlign w:val="subscript"/>
        </w:rPr>
        <w:t>2</w:t>
      </w:r>
      <w:r w:rsidRPr="00892425">
        <w:rPr>
          <w:rFonts w:ascii="Times New Roman" w:hAnsi="Times New Roman"/>
          <w:i w:val="0"/>
          <w:iCs w:val="0"/>
          <w:color w:val="000000" w:themeColor="text1"/>
          <w:sz w:val="24"/>
          <w:szCs w:val="24"/>
        </w:rPr>
        <w:t xml:space="preserve">O-eq = 0 </w:t>
      </w:r>
      <w:proofErr w:type="spellStart"/>
      <w:r w:rsidRPr="00892425">
        <w:rPr>
          <w:rFonts w:ascii="Times New Roman" w:hAnsi="Times New Roman"/>
          <w:i w:val="0"/>
          <w:iCs w:val="0"/>
          <w:color w:val="000000" w:themeColor="text1"/>
          <w:sz w:val="24"/>
          <w:szCs w:val="24"/>
        </w:rPr>
        <w:t>wt</w:t>
      </w:r>
      <w:proofErr w:type="spellEnd"/>
      <w:r w:rsidRPr="00892425">
        <w:rPr>
          <w:rFonts w:ascii="Times New Roman" w:hAnsi="Times New Roman"/>
          <w:i w:val="0"/>
          <w:iCs w:val="0"/>
          <w:color w:val="000000" w:themeColor="text1"/>
          <w:sz w:val="24"/>
          <w:szCs w:val="24"/>
        </w:rPr>
        <w:t xml:space="preserve">%; </w:t>
      </w:r>
      <w:r>
        <w:rPr>
          <w:rFonts w:ascii="Times New Roman" w:hAnsi="Times New Roman"/>
          <w:color w:val="000000" w:themeColor="text1"/>
        </w:rPr>
        <w:fldChar w:fldCharType="begin" w:fldLock="1"/>
      </w:r>
      <w:r w:rsidR="009259DA">
        <w:rPr>
          <w:rFonts w:ascii="Times New Roman" w:hAnsi="Times New Roman"/>
          <w:i w:val="0"/>
          <w:iCs w:val="0"/>
          <w:color w:val="000000" w:themeColor="text1"/>
          <w:sz w:val="24"/>
          <w:szCs w:val="24"/>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2023)","manualFormatting":"Hughes et al., 2023)","plainTextFormattedCitation":"(Hughes et al., 2023)","previouslyFormattedCitation":"(Hughes et al., 2023)"},"properties":{"noteIndex":0},"schema":"https://github.com/citation-style-language/schema/raw/master/csl-citation.json"}</w:instrText>
      </w:r>
      <w:r>
        <w:rPr>
          <w:rFonts w:ascii="Times New Roman" w:hAnsi="Times New Roman"/>
          <w:color w:val="000000" w:themeColor="text1"/>
        </w:rPr>
        <w:fldChar w:fldCharType="separate"/>
      </w:r>
      <w:r w:rsidR="00B43D5A" w:rsidRPr="00B43D5A">
        <w:rPr>
          <w:rFonts w:ascii="Times New Roman" w:hAnsi="Times New Roman"/>
          <w:i w:val="0"/>
          <w:iCs w:val="0"/>
          <w:noProof/>
          <w:color w:val="000000" w:themeColor="text1"/>
          <w:sz w:val="24"/>
          <w:szCs w:val="24"/>
        </w:rPr>
        <w:t>Hughes et al.</w:t>
      </w:r>
      <w:r w:rsidR="009259DA">
        <w:rPr>
          <w:rFonts w:ascii="Times New Roman" w:hAnsi="Times New Roman"/>
          <w:i w:val="0"/>
          <w:iCs w:val="0"/>
          <w:noProof/>
          <w:color w:val="000000" w:themeColor="text1"/>
          <w:sz w:val="24"/>
          <w:szCs w:val="24"/>
        </w:rPr>
        <w:t>,</w:t>
      </w:r>
      <w:r w:rsidR="00B43D5A" w:rsidRPr="00B43D5A">
        <w:rPr>
          <w:rFonts w:ascii="Times New Roman" w:hAnsi="Times New Roman"/>
          <w:i w:val="0"/>
          <w:iCs w:val="0"/>
          <w:noProof/>
          <w:color w:val="000000" w:themeColor="text1"/>
          <w:sz w:val="24"/>
          <w:szCs w:val="24"/>
        </w:rPr>
        <w:t xml:space="preserve"> 2023)</w:t>
      </w:r>
      <w:r>
        <w:rPr>
          <w:rFonts w:ascii="Times New Roman" w:hAnsi="Times New Roman"/>
          <w:color w:val="000000" w:themeColor="text1"/>
        </w:rPr>
        <w:fldChar w:fldCharType="end"/>
      </w:r>
      <w:r w:rsidRPr="00892425">
        <w:rPr>
          <w:rFonts w:ascii="Times New Roman" w:hAnsi="Times New Roman"/>
          <w:i w:val="0"/>
          <w:iCs w:val="0"/>
          <w:color w:val="000000" w:themeColor="text1"/>
          <w:sz w:val="24"/>
          <w:szCs w:val="24"/>
        </w:rPr>
        <w:t xml:space="preserve">. </w:t>
      </w:r>
      <w:r>
        <w:rPr>
          <w:rFonts w:ascii="Times New Roman" w:hAnsi="Times New Roman"/>
          <w:i w:val="0"/>
          <w:iCs w:val="0"/>
          <w:color w:val="000000" w:themeColor="text1"/>
          <w:sz w:val="24"/>
          <w:szCs w:val="24"/>
        </w:rPr>
        <w:t xml:space="preserve">For these conditions, there is no saturation with graphite, </w:t>
      </w:r>
      <w:proofErr w:type="spellStart"/>
      <w:r>
        <w:rPr>
          <w:rFonts w:ascii="Times New Roman" w:hAnsi="Times New Roman"/>
          <w:i w:val="0"/>
          <w:iCs w:val="0"/>
          <w:color w:val="000000" w:themeColor="text1"/>
          <w:sz w:val="24"/>
          <w:szCs w:val="24"/>
        </w:rPr>
        <w:t>sulfide</w:t>
      </w:r>
      <w:proofErr w:type="spellEnd"/>
      <w:r>
        <w:rPr>
          <w:rFonts w:ascii="Times New Roman" w:hAnsi="Times New Roman"/>
          <w:i w:val="0"/>
          <w:iCs w:val="0"/>
          <w:color w:val="000000" w:themeColor="text1"/>
          <w:sz w:val="24"/>
          <w:szCs w:val="24"/>
        </w:rPr>
        <w:t>, or anhydrite.</w:t>
      </w:r>
    </w:p>
    <w:p w14:paraId="1F76C9AB" w14:textId="15F9432D" w:rsidR="003F22E0" w:rsidRDefault="003F22E0">
      <w:pPr>
        <w:ind w:firstLine="720"/>
        <w:jc w:val="both"/>
        <w:rPr>
          <w:rFonts w:ascii="Times New Roman" w:hAnsi="Times New Roman"/>
        </w:rPr>
      </w:pPr>
    </w:p>
    <w:p w14:paraId="1692DBB5" w14:textId="77777777" w:rsidR="00D61BC9" w:rsidRPr="00892425" w:rsidRDefault="00D61BC9" w:rsidP="0095061F">
      <w:pPr>
        <w:ind w:firstLine="720"/>
        <w:jc w:val="both"/>
        <w:rPr>
          <w:rFonts w:ascii="Times New Roman" w:hAnsi="Times New Roman"/>
        </w:rPr>
      </w:pPr>
    </w:p>
    <w:p w14:paraId="4F82F12B" w14:textId="09A3196C" w:rsidR="00372AD9" w:rsidRPr="00372AD9" w:rsidRDefault="00372AD9" w:rsidP="00372AD9">
      <w:pPr>
        <w:pStyle w:val="Heading1"/>
        <w:rPr>
          <w:rFonts w:ascii="Times New Roman" w:hAnsi="Times New Roman"/>
          <w:szCs w:val="24"/>
        </w:rPr>
      </w:pPr>
      <w:bookmarkStart w:id="30" w:name="_Ref93569198"/>
      <w:r w:rsidRPr="00372AD9">
        <w:rPr>
          <w:rFonts w:ascii="Times New Roman" w:hAnsi="Times New Roman"/>
          <w:szCs w:val="24"/>
        </w:rPr>
        <w:t>Limitations</w:t>
      </w:r>
      <w:bookmarkEnd w:id="30"/>
    </w:p>
    <w:p w14:paraId="6D6ACF51" w14:textId="73C6407D" w:rsidR="00372AD9" w:rsidRDefault="00372AD9" w:rsidP="00147AF9">
      <w:pPr>
        <w:ind w:firstLine="432"/>
        <w:jc w:val="both"/>
        <w:rPr>
          <w:rFonts w:ascii="Times New Roman" w:hAnsi="Times New Roman" w:cs="Times New Roman"/>
        </w:rPr>
      </w:pPr>
      <w:r w:rsidRPr="00372AD9">
        <w:rPr>
          <w:rFonts w:ascii="Times New Roman" w:hAnsi="Times New Roman" w:cs="Times New Roman"/>
        </w:rPr>
        <w:t xml:space="preserve">In this section, we describe some of the consequences </w:t>
      </w:r>
      <w:r w:rsidR="0077697A">
        <w:rPr>
          <w:rFonts w:ascii="Times New Roman" w:hAnsi="Times New Roman" w:cs="Times New Roman"/>
        </w:rPr>
        <w:t>for</w:t>
      </w:r>
      <w:r w:rsidR="0077697A" w:rsidRPr="00372AD9">
        <w:rPr>
          <w:rFonts w:ascii="Times New Roman" w:hAnsi="Times New Roman" w:cs="Times New Roman"/>
        </w:rPr>
        <w:t xml:space="preserve"> </w:t>
      </w:r>
      <w:r w:rsidRPr="00372AD9">
        <w:rPr>
          <w:rFonts w:ascii="Times New Roman" w:hAnsi="Times New Roman" w:cs="Times New Roman"/>
        </w:rPr>
        <w:t xml:space="preserve">the accuracy of calculated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values that arise from limitations of our model. We emphasise, however, that our focus is on the </w:t>
      </w:r>
      <w:r w:rsidRPr="00372AD9">
        <w:rPr>
          <w:rFonts w:ascii="Times New Roman" w:hAnsi="Times New Roman" w:cs="Times New Roman"/>
          <w:i/>
          <w:iCs/>
        </w:rPr>
        <w:t>trends</w:t>
      </w:r>
      <w:r w:rsidRPr="00372AD9">
        <w:rPr>
          <w:rFonts w:ascii="Times New Roman" w:hAnsi="Times New Roman" w:cs="Times New Roman"/>
        </w:rPr>
        <w:t xml:space="preserve"> in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as </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xml:space="preserve">, S, C, and H vary. We are confident that the dominant trends predicted by our model provide useful insights into the influence of these parameters on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Nevertheless, this discussion serves to emphasize the importance of further experiments that investigate the effects of melt composition, </w:t>
      </w:r>
      <w:r w:rsidRPr="00372AD9">
        <w:rPr>
          <w:rFonts w:ascii="Times New Roman" w:hAnsi="Times New Roman" w:cs="Times New Roman"/>
          <w:i/>
          <w:iCs/>
        </w:rPr>
        <w:t>T</w:t>
      </w:r>
      <w:r w:rsidRPr="00372AD9">
        <w:rPr>
          <w:rFonts w:ascii="Times New Roman" w:hAnsi="Times New Roman" w:cs="Times New Roman"/>
        </w:rPr>
        <w:t xml:space="preserve">, and </w:t>
      </w:r>
      <w:r w:rsidRPr="00372AD9">
        <w:rPr>
          <w:rFonts w:ascii="Times New Roman" w:hAnsi="Times New Roman" w:cs="Times New Roman"/>
          <w:i/>
          <w:iCs/>
        </w:rPr>
        <w:t>P</w:t>
      </w:r>
      <w:r w:rsidRPr="00372AD9">
        <w:rPr>
          <w:rFonts w:ascii="Times New Roman" w:hAnsi="Times New Roman" w:cs="Times New Roman"/>
        </w:rPr>
        <w:t xml:space="preserve"> on the solubilities of </w:t>
      </w:r>
      <w:r w:rsidR="00896FE2">
        <w:rPr>
          <w:rFonts w:ascii="Times New Roman" w:hAnsi="Times New Roman" w:cs="Times New Roman"/>
        </w:rPr>
        <w:t>vapor</w:t>
      </w:r>
      <w:r w:rsidRPr="00372AD9">
        <w:rPr>
          <w:rFonts w:ascii="Times New Roman" w:hAnsi="Times New Roman" w:cs="Times New Roman"/>
        </w:rPr>
        <w:t xml:space="preserve"> species in melt by reactions such as (11–18)</w:t>
      </w:r>
      <w:r w:rsidR="00896FE2">
        <w:rPr>
          <w:rFonts w:ascii="Times New Roman" w:hAnsi="Times New Roman" w:cs="Times New Roman"/>
        </w:rPr>
        <w:t xml:space="preserve"> in</w:t>
      </w:r>
      <w:r w:rsidR="009259DA">
        <w:rPr>
          <w:rFonts w:ascii="Times New Roman" w:hAnsi="Times New Roman" w:cs="Times New Roman"/>
        </w:rPr>
        <w:t xml:space="preserve"> Table 2 of</w:t>
      </w:r>
      <w:r w:rsidR="00896FE2">
        <w:rPr>
          <w:rFonts w:ascii="Times New Roman" w:hAnsi="Times New Roman" w:cs="Times New Roman"/>
        </w:rPr>
        <w:t xml:space="preserve"> the main text</w:t>
      </w:r>
      <w:r w:rsidRPr="00372AD9">
        <w:rPr>
          <w:rFonts w:ascii="Times New Roman" w:hAnsi="Times New Roman" w:cs="Times New Roman"/>
        </w:rPr>
        <w:t xml:space="preserve">, on the activity-composition relationships of the dominant melt species, and on the fugacity coefficients of species in </w:t>
      </w:r>
      <w:r w:rsidRPr="00372AD9">
        <w:rPr>
          <w:rFonts w:ascii="Times New Roman" w:hAnsi="Times New Roman" w:cs="Times New Roman"/>
        </w:rPr>
        <w:lastRenderedPageBreak/>
        <w:t xml:space="preserve">compositionally complex vapor. </w:t>
      </w:r>
      <w:r w:rsidR="0077697A">
        <w:rPr>
          <w:rFonts w:ascii="Times New Roman" w:hAnsi="Times New Roman" w:cs="Times New Roman"/>
        </w:rPr>
        <w:t>In our view, c</w:t>
      </w:r>
      <w:r w:rsidR="0077697A" w:rsidRPr="00372AD9">
        <w:rPr>
          <w:rFonts w:ascii="Times New Roman" w:hAnsi="Times New Roman" w:cs="Times New Roman"/>
        </w:rPr>
        <w:t xml:space="preserve">urrent </w:t>
      </w:r>
      <w:r w:rsidRPr="00372AD9">
        <w:rPr>
          <w:rFonts w:ascii="Times New Roman" w:hAnsi="Times New Roman" w:cs="Times New Roman"/>
        </w:rPr>
        <w:t xml:space="preserve">knowledge of </w:t>
      </w:r>
      <w:proofErr w:type="gramStart"/>
      <w:r w:rsidRPr="00372AD9">
        <w:rPr>
          <w:rFonts w:ascii="Times New Roman" w:hAnsi="Times New Roman" w:cs="Times New Roman"/>
        </w:rPr>
        <w:t>all of</w:t>
      </w:r>
      <w:proofErr w:type="gramEnd"/>
      <w:r w:rsidRPr="00372AD9">
        <w:rPr>
          <w:rFonts w:ascii="Times New Roman" w:hAnsi="Times New Roman" w:cs="Times New Roman"/>
        </w:rPr>
        <w:t xml:space="preserve"> these factors influence</w:t>
      </w:r>
      <w:r w:rsidR="009259DA">
        <w:rPr>
          <w:rFonts w:ascii="Times New Roman" w:hAnsi="Times New Roman" w:cs="Times New Roman"/>
        </w:rPr>
        <w:t>s</w:t>
      </w:r>
      <w:r w:rsidRPr="00372AD9">
        <w:rPr>
          <w:rFonts w:ascii="Times New Roman" w:hAnsi="Times New Roman" w:cs="Times New Roman"/>
        </w:rPr>
        <w:t xml:space="preserve"> the accuracy of all available models that might be used to calculate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for naturally occurring magmas, including ours. </w:t>
      </w:r>
    </w:p>
    <w:p w14:paraId="0E6E5EB1" w14:textId="77777777" w:rsidR="00AD2708" w:rsidRPr="00372AD9" w:rsidRDefault="00AD2708" w:rsidP="00372AD9">
      <w:pPr>
        <w:jc w:val="both"/>
        <w:rPr>
          <w:rFonts w:ascii="Times New Roman" w:hAnsi="Times New Roman" w:cs="Times New Roman"/>
        </w:rPr>
      </w:pPr>
    </w:p>
    <w:p w14:paraId="35A04851" w14:textId="77777777" w:rsidR="00372AD9" w:rsidRPr="00372AD9" w:rsidRDefault="00372AD9" w:rsidP="00372AD9">
      <w:pPr>
        <w:pStyle w:val="Heading2"/>
        <w:rPr>
          <w:rFonts w:ascii="Times New Roman" w:hAnsi="Times New Roman"/>
          <w:szCs w:val="24"/>
        </w:rPr>
      </w:pPr>
      <w:r w:rsidRPr="00372AD9">
        <w:rPr>
          <w:rFonts w:ascii="Times New Roman" w:hAnsi="Times New Roman"/>
          <w:szCs w:val="24"/>
        </w:rPr>
        <w:t>Choice of volatile-bearing species in vapor and melt</w:t>
      </w:r>
    </w:p>
    <w:p w14:paraId="07462A94" w14:textId="77777777" w:rsidR="004358B7" w:rsidRDefault="00372AD9" w:rsidP="00147AF9">
      <w:pPr>
        <w:spacing w:after="245"/>
        <w:ind w:firstLine="720"/>
        <w:jc w:val="both"/>
        <w:rPr>
          <w:rFonts w:ascii="Times New Roman" w:hAnsi="Times New Roman" w:cs="Times New Roman"/>
        </w:rPr>
      </w:pPr>
      <w:r w:rsidRPr="00372AD9">
        <w:rPr>
          <w:rFonts w:ascii="Times New Roman" w:hAnsi="Times New Roman" w:cs="Times New Roman"/>
        </w:rPr>
        <w:t xml:space="preserve">We included only a subset of known </w:t>
      </w:r>
      <w:r w:rsidR="00500516">
        <w:rPr>
          <w:rFonts w:ascii="Times New Roman" w:hAnsi="Times New Roman" w:cs="Times New Roman"/>
        </w:rPr>
        <w:t>C-O-H-S</w:t>
      </w:r>
      <w:r w:rsidRPr="00372AD9">
        <w:rPr>
          <w:rFonts w:ascii="Times New Roman" w:hAnsi="Times New Roman" w:cs="Times New Roman"/>
        </w:rPr>
        <w:t xml:space="preserve"> species in the thermodynamic description of the vapor and melt. At homogenous equilibrium, additional species (e.g., SO</w:t>
      </w:r>
      <w:r w:rsidRPr="00372AD9">
        <w:rPr>
          <w:rFonts w:ascii="Times New Roman" w:hAnsi="Times New Roman" w:cs="Times New Roman"/>
          <w:vertAlign w:val="subscript"/>
        </w:rPr>
        <w:t>3</w:t>
      </w:r>
      <w:r w:rsidRPr="00372AD9">
        <w:rPr>
          <w:rFonts w:ascii="Times New Roman" w:hAnsi="Times New Roman" w:cs="Times New Roman"/>
        </w:rPr>
        <w:t>, SO, CS</w:t>
      </w:r>
      <w:r w:rsidRPr="00372AD9">
        <w:rPr>
          <w:rFonts w:ascii="Times New Roman" w:hAnsi="Times New Roman" w:cs="Times New Roman"/>
          <w:vertAlign w:val="subscript"/>
        </w:rPr>
        <w:t>2</w:t>
      </w:r>
      <w:r w:rsidRPr="00372AD9">
        <w:rPr>
          <w:rFonts w:ascii="Times New Roman" w:hAnsi="Times New Roman" w:cs="Times New Roman"/>
        </w:rPr>
        <w:t xml:space="preserve">, SOH, etc.) must be present at some level and could be significant in a C-O-H-S vapor depending on the </w:t>
      </w:r>
      <w:r w:rsidRPr="00372AD9">
        <w:rPr>
          <w:rFonts w:ascii="Times New Roman" w:hAnsi="Times New Roman" w:cs="Times New Roman"/>
          <w:i/>
          <w:iCs/>
        </w:rPr>
        <w:t>P</w:t>
      </w:r>
      <w:r w:rsidRPr="00372AD9">
        <w:rPr>
          <w:rFonts w:ascii="Times New Roman" w:hAnsi="Times New Roman" w:cs="Times New Roman"/>
        </w:rPr>
        <w:t xml:space="preserve">, </w:t>
      </w:r>
      <w:r w:rsidRPr="00372AD9">
        <w:rPr>
          <w:rFonts w:ascii="Times New Roman" w:hAnsi="Times New Roman" w:cs="Times New Roman"/>
          <w:i/>
          <w:iCs/>
        </w:rPr>
        <w:t>T</w:t>
      </w:r>
      <w:r w:rsidRPr="00372AD9">
        <w:rPr>
          <w:rFonts w:ascii="Times New Roman" w:hAnsi="Times New Roman" w:cs="Times New Roman"/>
        </w:rPr>
        <w:t>, and H/C/O/S ratios in the vapor</w:t>
      </w:r>
      <w:r w:rsidR="00BA4BD9">
        <w:rPr>
          <w:rFonts w:ascii="Times New Roman" w:hAnsi="Times New Roman" w:cs="Times New Roman"/>
        </w:rPr>
        <w:t xml:space="preserve"> </w:t>
      </w:r>
      <w:r w:rsidR="00BA4BD9">
        <w:rPr>
          <w:rFonts w:ascii="Times New Roman" w:hAnsi="Times New Roman" w:cs="Times New Roman"/>
        </w:rPr>
        <w:fldChar w:fldCharType="begin" w:fldLock="1"/>
      </w:r>
      <w:r w:rsidR="0037663C">
        <w:rPr>
          <w:rFonts w:ascii="Times New Roman" w:hAnsi="Times New Roman" w:cs="Times New Roman"/>
        </w:rPr>
        <w:instrText>ADDIN CSL_CITATION {"citationItems":[{"id":"ITEM-1","itemData":{"DOI":"10.1016/J.CAGEO.2003.10.006","ISSN":"0098-3004","abstract":"A high-temperature gas is a relatively simple mixture of gas species in homogeneous equilibrium. Volcanic gases are composed of the elements C, O, H, S, Cl and F along with trace amounts of other components. We present an Microsoft EXCEL spread sheet and add-in for calculation of homogeneous equilibrium in this system. This EXCEL extension allows users to calculate equilibrium species fugacities at 1bar for any volcanic or laboratory gas mixture in the C–O–H–S–Cl–F system. Homogeneous equilibrium is calculated using the RAND algorithm based on the assumption of ideal mixing of 66 molecular gas species. This is implemented as a hierarchy of class objects written in C++. This computation engine is compiled into a dynamically linked EXCEL add-in which can be accessed by any EXCEL spread sheet. An easy to use spread sheet is provided which implements this add-in.","author":[{"dropping-particle":"","family":"Kress","given":"Victor C.","non-dropping-particle":"","parse-names":false,"suffix":""},{"dropping-particle":"","family":"Ghiorso","given":"Mark S.","non-dropping-particle":"","parse-names":false,"suffix":""},{"dropping-particle":"","family":"Lastuka","given":"Coby","non-dropping-particle":"","parse-names":false,"suffix":""}],"container-title":"Computers &amp; Geosciences","id":"ITEM-1","issue":"3","issued":{"date-parts":[["2004","4","1"]]},"page":"211-214","publisher":"Pergamon","title":"Microsoft EXCEL spreadsheet-based program for calculating equilibrium gas speciation in the C–O–H–S–Cl–F system","type":"article-journal","volume":"30"},"uris":["http://www.mendeley.com/documents/?uuid=aebeb6b8-6a46-3a31-a8f2-a5ff7c5618d9"]},{"id":"ITEM-2","itemData":{"DOI":"10.1016/J.JVOLGEORES.2021.107181","ISSN":"0377-0273","abstract":"Although It has long been recognized that sub-volcanic gas-solid reactions involving iron play a major role in determining the redox state ([Formula presented]) of discharging gases, the crucial role played by calcium has only recently been recognized through high temperature gas-solid experimental studies. These show that SO2, which dominates H2S in high temperature (&gt; ~600°C) volcanic gas mixtures, rapidly and efficiently reacts with abundant plagioclase and other calcic rock-forming minerals to simultaneously deposit anhydrite and release reduced sulfur. Coupled with sulfide deposition, these reactions control the total sulfur content of the gas phase through the very low solubilities of sulfides and anhydrite and, via coupled multicomponent reactions, determine the redox state and the H2S/SO2 ratio of the volcanic gas mixtures. Multi-component thermochemical modelling of gas-solid equilibria and titration-precipitation reactions along adiabatic expansion pathways from magma to surface confirm that for fumarole gas mixtures with outlet temperature &gt; 400 °C, RH is primarily controlled by anorthite - pyroxene - anhydrite - sulfide reactions, irrespective of their tectonic location, state of volcanic activity, gas discharge temperature and the composition of the gas mixtures released from the magma. Anhydrite and sulfide deposition through gas-solid reactions result in extensive sulfur sequestration as gas mixtures expand from the magma to the surface as is observed in the many large scale ‘porphyry’ Cu-Mo-Au deposits exposed in ancient, now dissected, volcanoes in magmatic arcs. These volcano-scale alteration processes also imply that high temperature (&gt; 600 °C) volcanic gases have C/S ratios that may have been increased by this process relative to their original magmatic values. The corollary is that current estimates of the total sulfur released annually from the mantle may be significantly underestimated.","author":[{"dropping-particle":"","family":"Henley","given":"Richard W.","non-dropping-particle":"","parse-names":false,"suffix":""},{"dropping-particle":"","family":"Fischer","given":"Tobias P.","non-dropping-particle":"","parse-names":false,"suffix":""}],"container-title":"Journal of Volcanology and Geothermal Research","id":"ITEM-2","issued":{"date-parts":[["2021","6","1"]]},"page":"107181","publisher":"Elsevier","title":"Sulfur sequestration and redox equilibria in volcanic gases","type":"article-journal","volume":"414"},"uris":["http://www.mendeley.com/documents/?uuid=6b33dcc0-18d5-3559-822b-1ef1e8930103"]},{"id":"ITEM-3","itemData":{"DOI":"10.2138/RMG.2018.84.9","ISSN":"1529-6466","author":[{"dropping-particle":"","family":"Henley","given":"Richard W.","non-dropping-particle":"","parse-names":false,"suffix":""},{"dropping-particle":"","family":"Seward","given":"Terry M.","non-dropping-particle":"","parse-names":false,"suffix":""}],"container-title":"Reviews in Mineralogy and Geochemistry","id":"ITEM-3","issue":"1","issued":{"date-parts":[["2018","11","1"]]},"page":"309-349","publisher":"GeoScienceWorld","title":"Gas–Solid Reactions in Arc Volcanoes: Ancient and Modern","type":"article-journal","volume":"84"},"uris":["http://www.mendeley.com/documents/?uuid=8ff64546-9329-3ef7-9f2d-591e9db3ff83"]}],"mendeley":{"formattedCitation":"(Henley and Fischer, 2021; Henley and Seward, 2018; Kress et al., 2004)","manualFormatting":"(e.g., Henley and Fischer, 2021; Henley and Seward, 2018; Kress et al., 2004)","plainTextFormattedCitation":"(Henley and Fischer, 2021; Henley and Seward, 2018; Kress et al., 2004)","previouslyFormattedCitation":"(Henley and Fischer, 2021; Henley and Seward, 2018; Kress et al., 2004)"},"properties":{"noteIndex":0},"schema":"https://github.com/citation-style-language/schema/raw/master/csl-citation.json"}</w:instrText>
      </w:r>
      <w:r w:rsidR="00BA4BD9">
        <w:rPr>
          <w:rFonts w:ascii="Times New Roman" w:hAnsi="Times New Roman" w:cs="Times New Roman"/>
        </w:rPr>
        <w:fldChar w:fldCharType="separate"/>
      </w:r>
      <w:r w:rsidR="00BA4BD9" w:rsidRPr="00BA4BD9">
        <w:rPr>
          <w:rFonts w:ascii="Times New Roman" w:hAnsi="Times New Roman" w:cs="Times New Roman"/>
          <w:noProof/>
        </w:rPr>
        <w:t>(</w:t>
      </w:r>
      <w:r w:rsidR="00BA4BD9">
        <w:rPr>
          <w:rFonts w:ascii="Times New Roman" w:hAnsi="Times New Roman" w:cs="Times New Roman"/>
          <w:noProof/>
        </w:rPr>
        <w:t xml:space="preserve">e.g., </w:t>
      </w:r>
      <w:r w:rsidR="00BA4BD9" w:rsidRPr="00BA4BD9">
        <w:rPr>
          <w:rFonts w:ascii="Times New Roman" w:hAnsi="Times New Roman" w:cs="Times New Roman"/>
          <w:noProof/>
        </w:rPr>
        <w:t>Henley and Fischer, 2021; Henley and Seward, 2018; Kress et al., 2004)</w:t>
      </w:r>
      <w:r w:rsidR="00BA4BD9">
        <w:rPr>
          <w:rFonts w:ascii="Times New Roman" w:hAnsi="Times New Roman" w:cs="Times New Roman"/>
        </w:rPr>
        <w:fldChar w:fldCharType="end"/>
      </w:r>
      <w:r w:rsidRPr="00372AD9">
        <w:rPr>
          <w:rFonts w:ascii="Times New Roman" w:hAnsi="Times New Roman" w:cs="Times New Roman"/>
        </w:rPr>
        <w:t>. However, our chosen species: (1) are those commonly measured in volcanic gases</w:t>
      </w:r>
      <w:r w:rsidR="0037663C">
        <w:rPr>
          <w:rFonts w:ascii="Times New Roman" w:hAnsi="Times New Roman" w:cs="Times New Roman"/>
        </w:rPr>
        <w:t xml:space="preserve"> </w:t>
      </w:r>
      <w:r w:rsidR="0037663C">
        <w:rPr>
          <w:rFonts w:ascii="Times New Roman" w:hAnsi="Times New Roman" w:cs="Times New Roman"/>
        </w:rPr>
        <w:fldChar w:fldCharType="begin" w:fldLock="1"/>
      </w:r>
      <w:r w:rsidR="00CE3735">
        <w:rPr>
          <w:rFonts w:ascii="Times New Roman" w:hAnsi="Times New Roman" w:cs="Times New Roman"/>
        </w:rPr>
        <w:instrText>ADDIN CSL_CITATION {"citationItems":[{"id":"ITEM-1","itemData":{"DOI":"10.1016/J.EPSL.2019.05.036","ISSN":"0012-821X","abstract":"The oxidation state of volcanic gas emissions influences the composition of the exosphere and planetary habitability. It is widely considered to be associated with the oxidation state of the melt from which volatiles exsolve. Here, we present a global synthesis of volcanic gas measurements. We define the mean oxidation state of volcanic gas emissions on Earth today and show that, globally, gas oxidation state, relative to rock buffers, is a strong function of emission temperature, increasing by several orders of magnitude as temperature decreases. The trend is independent of melt composition and geodynamic setting. This observation may explain why the mean oxidation state of volcanic gas emissions on Earth has apparently increased since the Archean, without a corresponding shift in melt oxidation state. We argue that progressive cooling of the mantle and the cessation of komatiite generation should have been accompanied by a substantial increase of the oxidation state of volcanic gases around the onset of the Great Oxidation Event. This may have accelerated or facilitated the transition to an oxygen-rich atmosphere. Overall, our data, along with previous work, show that there are no single nor simple relationships between mantle-, magma- and volcanic gas-redox states.","author":[{"dropping-particle":"","family":"Moussallam","given":"Yves","non-dropping-particle":"","parse-names":false,"suffix":""},{"dropping-particle":"","family":"Oppenheimer","given":"Clive","non-dropping-particle":"","parse-names":false,"suffix":""},{"dropping-particle":"","family":"Scaillet","given":"Bruno","non-dropping-particle":"","parse-names":false,"suffix":""}],"container-title":"Earth and Planetary Science Letters","id":"ITEM-1","issued":{"date-parts":[["2019","8","15"]]},"page":"260-267","publisher":"Elsevier","title":"On the relationship between oxidation state and temperature of volcanic gas emissions","type":"article-journal","volume":"520"},"uris":["http://www.mendeley.com/documents/?uuid=7dc6690e-fa67-3cef-9f52-cb87fca63442"]},{"id":"ITEM-2","itemData":{"DOI":"10.1016/B978-0-12-385938-9.00045-6","abstract":"This chapter provides an overview of key aspects of volcanic and hydrothermal gases. It covers sampling and analyses of gases emitted from volcanic vents and determination of soil CO2 fluxes. The chemical and isotopic compositions of volcanic and hydrothermal gases reflect processes related to volatile sources and transport from the magma to the surface. Thermodynamics of gas equilibration allows for the investigation of gas compositional changes as a result of temperature, pressure, and dominant buffer reactions. Noble gases in combination with major gas species, such as CO2 and N2 provide important information on the ultimate sources of volcanic emissions in terms of mantle, crust, and subducted materials. The excess sulfur issue, where significantly more sulfur is emitted than what can be dissolved in the erupted magma, demonstrates the significance of characterizing volcanoes both in terms of their volatiles as measured in melt inclusions as well as in the volcanic plumes.","author":[{"dropping-particle":"","family":"Fischer","given":"Tobias P.","non-dropping-particle":"","parse-names":false,"suffix":""},{"dropping-particle":"","family":"Chiodini","given":"Giovanni","non-dropping-particle":"","parse-names":false,"suffix":""}],"container-title":"The Encyclopedia of Volcanoes","id":"ITEM-2","issued":{"date-parts":[["2015","1","1"]]},"page":"779-797","publisher":"Academic Press","title":"Volcanic, Magmatic and Hydrothermal Gases","type":"article-journal"},"uris":["http://www.mendeley.com/documents/?uuid=4ae2488b-0d00-302d-8a3a-3811ca7119ef"]},{"id":"ITEM-3","itemData":{"DOI":"10.1007/978-3-642-80087-0_7","abstract":"The composition of gases released from volcanoes is a function of deep processes, such as vapor-melt separation during the generation and rise of the magmas, and shallow processes, active within the volcanic structures themselves. Of the three major types of volcanic systems, those associated with andesitic magmatism are the most suitable to the application of geochemical surveillance and monitoring techniques. Volatile contents of andesitic magmas, largely representing fluids released from the subducted slab, are likely to be high enough to allow a separate, volatile-rich phase to be present during all stages of magma generation and migration. In spite of highly variable solubilities in magmatic melts, the proportions of volatiles present in the vapors discharged from volcanic fumaroles resemble closely those acquired at depth suggesting that the vapor-melt systems have attained steady-state and that the overall process active during the rise of the volatiles is effectively nonfractionating. The variability in the composition of volcanic gases accessible to sampling, therefore, is largely due to shallow processes, such as reequilibration in response to cooling and dilution by meteoric water, and interaction with fluids of associated hydrothermal systems. The most important buffer of the redox state of volcanic gases is that involving H (sub 2) S and SO (sub 2) of the vapor phase. The concentrations of rapidly responding species, such and H (sub 2) and CO, reflect redox control by this \"gas buffer.\" Species with slower kinetic response, such as CH (sub 4) , are largely generated within the slow-moving hydrothermal systems associated with most active volcanic structures. At shallow levels, the contents of H (sub 2) S and SO (sub 2) are affected by the deposition and reevaporation of elemental S and disproportionation of SO (sub 2) and H (sub 2) S and sulfate in a hydrothermal environment. Relative amounts of the highly soluble species HCl and HF are also affected by interaction with hydrothermal solutions. The compositions of the inert species, such as CO (sub 2) , N (sub 2) and the noble gases provide information on the origins of the vapors, from the mantle, the subducted slab, or groundwater.","author":[{"dropping-particle":"","family":"Giggenbach","given":"W. F.","non-dropping-particle":"","parse-names":false,"suffix":""}],"container-title":"Monitoring and Mitigation of Volcano Hazards","id":"ITEM-3","issued":{"date-parts":[["1996"]]},"page":"221-256","publisher":"Springer, Berlin, Heidelberg","title":"Chemical Composition of Volcanic Gases","type":"article-journal"},"uris":["http://www.mendeley.com/documents/?uuid=24231185-3e8d-32ea-9146-b04bc53b0f07"]}],"mendeley":{"formattedCitation":"(Fischer and Chiodini, 2015; Giggenbach, 1996; Moussallam et al., 2019)","manualFormatting":"(e.g., Fischer and Chiodini, 2015; Giggenbach, 1996; Moussallam et al., 2019)","plainTextFormattedCitation":"(Fischer and Chiodini, 2015; Giggenbach, 1996; Moussallam et al., 2019)","previouslyFormattedCitation":"(Fischer and Chiodini, 2015; Giggenbach, 1996; Moussallam et al., 2019)"},"properties":{"noteIndex":0},"schema":"https://github.com/citation-style-language/schema/raw/master/csl-citation.json"}</w:instrText>
      </w:r>
      <w:r w:rsidR="0037663C">
        <w:rPr>
          <w:rFonts w:ascii="Times New Roman" w:hAnsi="Times New Roman" w:cs="Times New Roman"/>
        </w:rPr>
        <w:fldChar w:fldCharType="separate"/>
      </w:r>
      <w:r w:rsidR="0037663C" w:rsidRPr="0037663C">
        <w:rPr>
          <w:rFonts w:ascii="Times New Roman" w:hAnsi="Times New Roman" w:cs="Times New Roman"/>
          <w:noProof/>
        </w:rPr>
        <w:t>(</w:t>
      </w:r>
      <w:r w:rsidR="0037663C">
        <w:rPr>
          <w:rFonts w:ascii="Times New Roman" w:hAnsi="Times New Roman" w:cs="Times New Roman"/>
          <w:noProof/>
        </w:rPr>
        <w:t xml:space="preserve">e.g., </w:t>
      </w:r>
      <w:r w:rsidR="0037663C" w:rsidRPr="0037663C">
        <w:rPr>
          <w:rFonts w:ascii="Times New Roman" w:hAnsi="Times New Roman" w:cs="Times New Roman"/>
          <w:noProof/>
        </w:rPr>
        <w:t>Fischer and Chiodini, 2015; Giggenbach, 1996; Moussallam et al., 2019)</w:t>
      </w:r>
      <w:r w:rsidR="0037663C">
        <w:rPr>
          <w:rFonts w:ascii="Times New Roman" w:hAnsi="Times New Roman" w:cs="Times New Roman"/>
        </w:rPr>
        <w:fldChar w:fldCharType="end"/>
      </w:r>
      <w:r w:rsidRPr="00372AD9">
        <w:rPr>
          <w:rFonts w:ascii="Times New Roman" w:hAnsi="Times New Roman" w:cs="Times New Roman"/>
        </w:rPr>
        <w:t>; and (2) have available fugacity coefficients</w:t>
      </w:r>
      <w:r w:rsidR="0072587A">
        <w:rPr>
          <w:rFonts w:ascii="Times New Roman" w:hAnsi="Times New Roman" w:cs="Times New Roman"/>
        </w:rPr>
        <w:t xml:space="preserve"> </w:t>
      </w:r>
      <w:r w:rsidR="0072587A">
        <w:rPr>
          <w:rFonts w:ascii="Times New Roman" w:hAnsi="Times New Roman" w:cs="Times New Roman"/>
        </w:rPr>
        <w:fldChar w:fldCharType="begin" w:fldLock="1"/>
      </w:r>
      <w:r w:rsidR="0072587A">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1992)","manualFormatting":"(e.g., Shi and Saxena, 1992)","plainTextFormattedCitation":"(Shi and Saxena, 1992)","previouslyFormattedCitation":"(Shi and Saxena, 1992)"},"properties":{"noteIndex":0},"schema":"https://github.com/citation-style-language/schema/raw/master/csl-citation.json"}</w:instrText>
      </w:r>
      <w:r w:rsidR="0072587A">
        <w:rPr>
          <w:rFonts w:ascii="Times New Roman" w:hAnsi="Times New Roman" w:cs="Times New Roman"/>
        </w:rPr>
        <w:fldChar w:fldCharType="separate"/>
      </w:r>
      <w:r w:rsidR="0072587A" w:rsidRPr="0072587A">
        <w:rPr>
          <w:rFonts w:ascii="Times New Roman" w:hAnsi="Times New Roman" w:cs="Times New Roman"/>
          <w:noProof/>
        </w:rPr>
        <w:t>(</w:t>
      </w:r>
      <w:r w:rsidR="0072587A">
        <w:rPr>
          <w:rFonts w:ascii="Times New Roman" w:hAnsi="Times New Roman" w:cs="Times New Roman"/>
          <w:noProof/>
        </w:rPr>
        <w:t xml:space="preserve">e.g., </w:t>
      </w:r>
      <w:r w:rsidR="0072587A" w:rsidRPr="0072587A">
        <w:rPr>
          <w:rFonts w:ascii="Times New Roman" w:hAnsi="Times New Roman" w:cs="Times New Roman"/>
          <w:noProof/>
        </w:rPr>
        <w:t>Shi and Saxena, 1992)</w:t>
      </w:r>
      <w:r w:rsidR="0072587A">
        <w:rPr>
          <w:rFonts w:ascii="Times New Roman" w:hAnsi="Times New Roman" w:cs="Times New Roman"/>
        </w:rPr>
        <w:fldChar w:fldCharType="end"/>
      </w:r>
      <w:r w:rsidRPr="00372AD9">
        <w:rPr>
          <w:rFonts w:ascii="Times New Roman" w:hAnsi="Times New Roman" w:cs="Times New Roman"/>
        </w:rPr>
        <w:t xml:space="preserve">, which becomes progressively more important with increasing </w:t>
      </w:r>
      <w:r w:rsidRPr="00372AD9">
        <w:rPr>
          <w:rFonts w:ascii="Times New Roman" w:hAnsi="Times New Roman" w:cs="Times New Roman"/>
          <w:i/>
          <w:iCs/>
        </w:rPr>
        <w:t>P</w:t>
      </w:r>
      <w:r w:rsidRPr="00372AD9">
        <w:rPr>
          <w:rFonts w:ascii="Times New Roman" w:hAnsi="Times New Roman" w:cs="Times New Roman"/>
        </w:rPr>
        <w:t xml:space="preserve">. </w:t>
      </w:r>
    </w:p>
    <w:p w14:paraId="610328DC" w14:textId="1F30E88D" w:rsidR="00372AD9" w:rsidRPr="00372AD9" w:rsidRDefault="00372AD9" w:rsidP="004358B7">
      <w:pPr>
        <w:spacing w:after="245"/>
        <w:ind w:firstLine="720"/>
        <w:jc w:val="both"/>
        <w:rPr>
          <w:rFonts w:ascii="Times New Roman" w:hAnsi="Times New Roman" w:cs="Times New Roman"/>
        </w:rPr>
      </w:pPr>
      <w:r w:rsidRPr="00372AD9">
        <w:rPr>
          <w:rFonts w:ascii="Times New Roman" w:hAnsi="Times New Roman" w:cs="Times New Roman"/>
        </w:rPr>
        <w:t>Additional volatile components could be included in the system (e.g., N, Cl, F, etc.), which would also expand the number of species in the vapor and melt (e.g., N</w:t>
      </w:r>
      <w:r w:rsidRPr="00372AD9">
        <w:rPr>
          <w:rFonts w:ascii="Times New Roman" w:hAnsi="Times New Roman" w:cs="Times New Roman"/>
          <w:vertAlign w:val="subscript"/>
        </w:rPr>
        <w:t>2</w:t>
      </w:r>
      <w:r w:rsidRPr="00372AD9">
        <w:rPr>
          <w:rFonts w:ascii="Times New Roman" w:hAnsi="Times New Roman" w:cs="Times New Roman"/>
        </w:rPr>
        <w:t>, HCl, HF, etc.). These other volatile components are less significant than those we have considered in typical mafic to intermediate magmas</w:t>
      </w:r>
      <w:r w:rsidR="0037663C">
        <w:rPr>
          <w:rFonts w:ascii="Times New Roman" w:hAnsi="Times New Roman" w:cs="Times New Roman"/>
        </w:rPr>
        <w:t xml:space="preserve"> </w:t>
      </w:r>
      <w:r w:rsidR="00CE3735">
        <w:rPr>
          <w:rFonts w:ascii="Times New Roman" w:hAnsi="Times New Roman" w:cs="Times New Roman"/>
        </w:rPr>
        <w:fldChar w:fldCharType="begin" w:fldLock="1"/>
      </w:r>
      <w:r w:rsidR="00CE3735">
        <w:rPr>
          <w:rFonts w:ascii="Times New Roman" w:hAnsi="Times New Roman" w:cs="Times New Roman"/>
        </w:rPr>
        <w:instrText>ADDIN CSL_CITATION {"citationItems":[{"id":"ITEM-1","itemData":{"DOI":"10.1016/j.jvolgeores.2004.07.023","ISSN":"03770273","abstract":"Owing to advances in microanalytical techniques over the last 15 years, there is a growing database on the volatile contents of subduction-related magmas as recorded in melt (glass) inclusions trapped in phenocrysts in volcanic rocks. Basaltic magmas from subduction zones show a wide range of water contents, ranging from as high as 6–8 to &lt;0.5 wt.% H2O. Variations are related in some places to primary factors such as proximity to the arc front or extent of subduction-related mantle enrichment inferred from trace element systematics. Some low values of H2O in melt inclusions result from shallow degassing before crystallization and entrapment of inclusions. The dissolved CO2 contents of melt inclusions from basaltic arc lavas range from below detection (</w:instrText>
      </w:r>
      <w:r w:rsidR="00CE3735">
        <w:rPr>
          <w:rFonts w:ascii="Cambria Math" w:hAnsi="Cambria Math" w:cs="Cambria Math"/>
        </w:rPr>
        <w:instrText>∼</w:instrText>
      </w:r>
      <w:r w:rsidR="00CE3735">
        <w:rPr>
          <w:rFonts w:ascii="Times New Roman" w:hAnsi="Times New Roman" w:cs="Times New Roman"/>
        </w:rPr>
        <w:instrText xml:space="preserve">25 ppm) to nearly 2500 ppm. This variability is caused by degassing of low-solubility CO2 before inclusions are trapped. The estimated primary CO2 content of arc basaltic magma inferred from global arc volcanic CO2 emissions and magma flux is &gt;3000 ppm, suggesting that no melt inclusions sample undegassed arc magmas. The Cl and S contents of arc basaltic magmas are greater than midocean ridge basalts, indicating that these volatiles are also recycled from subducted sediment and altered oceanic crust back into the mantle wedge. Comparison of the fluxes of volatiles subducted back into the mantle along subduction zones and returned from the mantle to the surface reservoir (crust, ocean, and atmosphere) via magmatism suggests that there is an approximate balance for structurally bound H2O and Cl. In contrast, </w:instrText>
      </w:r>
      <w:r w:rsidR="00CE3735">
        <w:rPr>
          <w:rFonts w:ascii="Cambria Math" w:hAnsi="Cambria Math" w:cs="Cambria Math"/>
        </w:rPr>
        <w:instrText>∼</w:instrText>
      </w:r>
      <w:r w:rsidR="00CE3735">
        <w:rPr>
          <w:rFonts w:ascii="Times New Roman" w:hAnsi="Times New Roman" w:cs="Times New Roman"/>
        </w:rPr>
        <w:instrText xml:space="preserve">50% of subducted C appears to be returned to the deep mantle by subduction, but uncertainties are relatively large. For S, the amount returned to the surface reservoir by subduction zone magmatism is only </w:instrText>
      </w:r>
      <w:r w:rsidR="00CE3735">
        <w:rPr>
          <w:rFonts w:ascii="Cambria Math" w:hAnsi="Cambria Math" w:cs="Cambria Math"/>
        </w:rPr>
        <w:instrText>∼</w:instrText>
      </w:r>
      <w:r w:rsidR="00CE3735">
        <w:rPr>
          <w:rFonts w:ascii="Times New Roman" w:hAnsi="Times New Roman" w:cs="Times New Roman"/>
        </w:rPr>
        <w:instrText>15–30% of the total amount being subducted. Dacitic and rhyolitic magmas in arcs contain 1–6 wt.% H2O, a range that overlaps considerably with the values for basaltic magmas. Either basaltic parents for these differentiated magmas are relatively H2O-poor, or intermediate to silicic arc magmas form through open-system processes involving variable amounts of crustal melting, mixing with basalt and basaltic differentiates, and fluxing of CO2-rich vapor from mafic magma recharged into silicic magma bodies. Consideration of H2O–CO2 relations and gaseous SO2 emissions for intermediate to silicic arc magmas shows that such magmas are typically vapor-saturated during crystallization in the middle to upper cr…","author":[{"dropping-particle":"","family":"Wallace","given":"Paul J.","non-dropping-particle":"","parse-names":false,"suffix":""}],"container-title":"Journal of Volcanology and Geothermal Research","id":"ITEM-1","issue":"1-3","issued":{"date-parts":[["2005","1"]]},"page":"217-240","title":"Volatiles in subduction zone magmas: concentrations and fluxes based on melt inclusion and volcanic gas data","type":"article-journal","volume":"140"},"uris":["http://www.mendeley.com/documents/?uuid=7f20fbda-5802-4379-838c-bc0754120694"]},{"id":"ITEM-2","itemData":{"DOI":"10.1002/2014JB011160","ISSN":"2169-9356","abstract":"We report microanalysis of volatile and trace element compositions, as well as Fe3+/ΣFe ratios, from 45 basaltic glasses from cruise RC2806 along the equatorial Mid-Atlantic Ridge. The along-strike variations in volatiles result from the complex geodynamical setting of the area, including numerous transform faults, variations in ridge depth, melting degree, and source composition. The strongest gradient is centered on 1.7° N and encompasses an increase of H2O, Cl, and F contents as well as high F/Zr ratio spatially coincident with radiogenic isotope anomalies. We interpret these variations as source enrichment due to the influence of the nearby high-μ-type Sierra Leone plume. South of the St. Paul fracture zone, H2O and F contents, as well as H2O/Ce and F/Zr ratios, decrease progressively. This gradient in volatiles is consistent with progressive dilution of an enriched component in a heterogeneous mantle due to the progressive increase in the degree of melting. These two large-scale gradients are interrupted by small-scale anomalies in volatile contents attributed to (1) low-degree melts preferentially sampling enriched heterogeneities near transform faults and (2) local assimilation of hydrothermal fluids in four samples from dredge 16D. Finally, 20 RC2806 samples described as \"popping rocks\" during collection do not show any difference in volatile content dissolved in the glass or in vesicularity when compared to the RC2806 \"nonpopping\" samples. Our observations lead us to question the interpretation of the CO2 content in the highly vesicular 2πD43 \"popping rock\" as being representative of the CO2 content of undegassed mid-ocean ridge basalt.","author":[{"dropping-particle":"","family":"Voyer","given":"Marion","non-dropping-particle":"Le","parse-names":false,"suffix":""},{"dropping-particle":"","family":"Cottrell","given":"Elizabeth","non-dropping-particle":"","parse-names":false,"suffix":""},{"dropping-particle":"","family":"Kelley","given":"Katherine A.","non-dropping-particle":"","parse-names":false,"suffix":""},{"dropping-particle":"","family":"Brounce","given":"Maryjo N.","non-dropping-particle":"","parse-names":false,"suffix":""},{"dropping-particle":"","family":"Hauri","given":"Erik H.","non-dropping-particle":"","parse-names":false,"suffix":""}],"container-title":"Journal of Geophysical Research: Solid Earth","id":"ITEM-2","issue":"1","issued":{"date-parts":[["2015","1","1"]]},"page":"125-144","publisher":"John Wiley &amp; Sons, Ltd","title":"The effect of primary versus secondary processes on the volatile content of MORB glasses: An example from the equatorial Mid-Atlantic Ridge (5°N–3°S)","type":"article-journal","volume":"120"},"uris":["http://www.mendeley.com/documents/?uuid=add0090f-5d3e-336c-84f1-c56fe6f73f03"]}],"mendeley":{"formattedCitation":"(Le Voyer et al., 2015; Wallace, 2005)","manualFormatting":"(e.g., Le Voyer et al., 2015; Wallace, 2005)","plainTextFormattedCitation":"(Le Voyer et al., 2015; Wallace, 2005)","previouslyFormattedCitation":"(Le Voyer et al., 2015; Wallace, 2005)"},"properties":{"noteIndex":0},"schema":"https://github.com/citation-style-language/schema/raw/master/csl-citation.json"}</w:instrText>
      </w:r>
      <w:r w:rsidR="00CE3735">
        <w:rPr>
          <w:rFonts w:ascii="Times New Roman" w:hAnsi="Times New Roman" w:cs="Times New Roman"/>
        </w:rPr>
        <w:fldChar w:fldCharType="separate"/>
      </w:r>
      <w:r w:rsidR="00CE3735" w:rsidRPr="00CE3735">
        <w:rPr>
          <w:rFonts w:ascii="Times New Roman" w:hAnsi="Times New Roman" w:cs="Times New Roman"/>
          <w:noProof/>
        </w:rPr>
        <w:t>(</w:t>
      </w:r>
      <w:r w:rsidR="00CE3735">
        <w:rPr>
          <w:rFonts w:ascii="Times New Roman" w:hAnsi="Times New Roman" w:cs="Times New Roman"/>
          <w:noProof/>
        </w:rPr>
        <w:t xml:space="preserve">e.g., </w:t>
      </w:r>
      <w:r w:rsidR="00CE3735" w:rsidRPr="00CE3735">
        <w:rPr>
          <w:rFonts w:ascii="Times New Roman" w:hAnsi="Times New Roman" w:cs="Times New Roman"/>
          <w:noProof/>
        </w:rPr>
        <w:t>Le Voyer et al., 2015; Wallace, 2005)</w:t>
      </w:r>
      <w:r w:rsidR="00CE3735">
        <w:rPr>
          <w:rFonts w:ascii="Times New Roman" w:hAnsi="Times New Roman" w:cs="Times New Roman"/>
        </w:rPr>
        <w:fldChar w:fldCharType="end"/>
      </w:r>
      <w:r w:rsidRPr="00372AD9">
        <w:rPr>
          <w:rFonts w:ascii="Times New Roman" w:hAnsi="Times New Roman" w:cs="Times New Roman"/>
        </w:rPr>
        <w:t xml:space="preserve">. Although homogeneous and heterogeneous equilibria describing their behaviour in the vapor and their solubility in the melt could in principle be added to our model relatively simply, we expect their contributions to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(and therefore to </w:t>
      </w:r>
      <w:proofErr w:type="spellStart"/>
      <w:r w:rsidRPr="00372AD9">
        <w:rPr>
          <w:rFonts w:ascii="Times New Roman" w:hAnsi="Times New Roman" w:cs="Times New Roman"/>
        </w:rPr>
        <w:t>Δ</w:t>
      </w:r>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would typically be low relative to those of the species we have considered. In any case, neglecting these other components and species – which will always be present to some degree – will </w:t>
      </w:r>
      <w:r w:rsidR="0077697A">
        <w:rPr>
          <w:rFonts w:ascii="Times New Roman" w:hAnsi="Times New Roman" w:cs="Times New Roman"/>
        </w:rPr>
        <w:t xml:space="preserve">inevitably </w:t>
      </w:r>
      <w:r w:rsidRPr="00372AD9">
        <w:rPr>
          <w:rFonts w:ascii="Times New Roman" w:hAnsi="Times New Roman" w:cs="Times New Roman"/>
        </w:rPr>
        <w:t xml:space="preserve">lead to some level of underestimation of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w:t>
      </w:r>
    </w:p>
    <w:p w14:paraId="51436D2B" w14:textId="328EEAB1" w:rsidR="00372AD9" w:rsidRDefault="00372AD9" w:rsidP="00500516">
      <w:pPr>
        <w:ind w:firstLine="720"/>
        <w:jc w:val="both"/>
        <w:rPr>
          <w:rFonts w:ascii="Times New Roman" w:hAnsi="Times New Roman" w:cs="Times New Roman"/>
        </w:rPr>
      </w:pPr>
      <w:r w:rsidRPr="00372AD9">
        <w:rPr>
          <w:rFonts w:ascii="Times New Roman" w:hAnsi="Times New Roman" w:cs="Times New Roman"/>
        </w:rPr>
        <w:t xml:space="preserve">We also have not </w:t>
      </w:r>
      <w:r w:rsidR="00653552">
        <w:rPr>
          <w:rFonts w:ascii="Times New Roman" w:hAnsi="Times New Roman" w:cs="Times New Roman"/>
        </w:rPr>
        <w:t xml:space="preserve">explicitly </w:t>
      </w:r>
      <w:r w:rsidRPr="00372AD9">
        <w:rPr>
          <w:rFonts w:ascii="Times New Roman" w:hAnsi="Times New Roman" w:cs="Times New Roman"/>
        </w:rPr>
        <w:t xml:space="preserve">included the precipitation of solid or immiscible volatile-bearing species, such as graphite, </w:t>
      </w:r>
      <w:proofErr w:type="spellStart"/>
      <w:r w:rsidRPr="00372AD9">
        <w:rPr>
          <w:rFonts w:ascii="Times New Roman" w:hAnsi="Times New Roman" w:cs="Times New Roman"/>
        </w:rPr>
        <w:t>sul</w:t>
      </w:r>
      <w:r w:rsidR="008D4EA7">
        <w:rPr>
          <w:rFonts w:ascii="Times New Roman" w:hAnsi="Times New Roman" w:cs="Times New Roman"/>
        </w:rPr>
        <w:t>f</w:t>
      </w:r>
      <w:r w:rsidRPr="00372AD9">
        <w:rPr>
          <w:rFonts w:ascii="Times New Roman" w:hAnsi="Times New Roman" w:cs="Times New Roman"/>
        </w:rPr>
        <w:t>ide</w:t>
      </w:r>
      <w:proofErr w:type="spellEnd"/>
      <w:r w:rsidRPr="00372AD9">
        <w:rPr>
          <w:rFonts w:ascii="Times New Roman" w:hAnsi="Times New Roman" w:cs="Times New Roman"/>
        </w:rPr>
        <w:t xml:space="preserve"> </w:t>
      </w:r>
      <w:r w:rsidR="009259DA">
        <w:rPr>
          <w:rFonts w:ascii="Times New Roman" w:hAnsi="Times New Roman" w:cs="Times New Roman"/>
        </w:rPr>
        <w:t>melt</w:t>
      </w:r>
      <w:r w:rsidRPr="00372AD9">
        <w:rPr>
          <w:rFonts w:ascii="Times New Roman" w:hAnsi="Times New Roman" w:cs="Times New Roman"/>
        </w:rPr>
        <w:t>, anhydrite, etc</w:t>
      </w:r>
      <w:r w:rsidR="00653552">
        <w:rPr>
          <w:rFonts w:ascii="Times New Roman" w:hAnsi="Times New Roman" w:cs="Times New Roman"/>
        </w:rPr>
        <w:t xml:space="preserve">, although we do </w:t>
      </w:r>
      <w:r w:rsidR="00072D7A">
        <w:rPr>
          <w:rFonts w:ascii="Times New Roman" w:hAnsi="Times New Roman" w:cs="Times New Roman"/>
        </w:rPr>
        <w:t>indicate conditions at which t</w:t>
      </w:r>
      <w:r w:rsidR="00653552">
        <w:rPr>
          <w:rFonts w:ascii="Times New Roman" w:hAnsi="Times New Roman" w:cs="Times New Roman"/>
        </w:rPr>
        <w:t>hese phases would be stable</w:t>
      </w:r>
      <w:r w:rsidR="00072D7A">
        <w:rPr>
          <w:rFonts w:ascii="Times New Roman" w:hAnsi="Times New Roman" w:cs="Times New Roman"/>
        </w:rPr>
        <w:t xml:space="preserve"> based on our calculations</w:t>
      </w:r>
      <w:r w:rsidRPr="00372AD9">
        <w:rPr>
          <w:rFonts w:ascii="Times New Roman" w:hAnsi="Times New Roman" w:cs="Times New Roman"/>
        </w:rPr>
        <w:t xml:space="preserve">. This could alter the magnitude and trends of some of the features we discussed. For example, anhydrite- or </w:t>
      </w:r>
      <w:proofErr w:type="spellStart"/>
      <w:r w:rsidRPr="00372AD9">
        <w:rPr>
          <w:rFonts w:ascii="Times New Roman" w:hAnsi="Times New Roman" w:cs="Times New Roman"/>
        </w:rPr>
        <w:t>sul</w:t>
      </w:r>
      <w:r w:rsidR="008D4EA7">
        <w:rPr>
          <w:rFonts w:ascii="Times New Roman" w:hAnsi="Times New Roman" w:cs="Times New Roman"/>
        </w:rPr>
        <w:t>f</w:t>
      </w:r>
      <w:r w:rsidRPr="00372AD9">
        <w:rPr>
          <w:rFonts w:ascii="Times New Roman" w:hAnsi="Times New Roman" w:cs="Times New Roman"/>
        </w:rPr>
        <w:t>ide</w:t>
      </w:r>
      <w:proofErr w:type="spellEnd"/>
      <w:r w:rsidRPr="00372AD9">
        <w:rPr>
          <w:rFonts w:ascii="Times New Roman" w:hAnsi="Times New Roman" w:cs="Times New Roman"/>
        </w:rPr>
        <w:t>-saturation would limit the S</w:t>
      </w:r>
      <w:r w:rsidRPr="00372AD9">
        <w:rPr>
          <w:rFonts w:ascii="Times New Roman" w:hAnsi="Times New Roman" w:cs="Times New Roman"/>
          <w:vertAlign w:val="subscript"/>
        </w:rPr>
        <w:t>T</w:t>
      </w:r>
      <w:r w:rsidRPr="00372AD9">
        <w:rPr>
          <w:rFonts w:ascii="Times New Roman" w:hAnsi="Times New Roman" w:cs="Times New Roman"/>
        </w:rPr>
        <w:t xml:space="preserve"> concentration stably attainable in the melt</w:t>
      </w:r>
      <w:r w:rsidR="004358B7">
        <w:rPr>
          <w:rFonts w:ascii="Times New Roman" w:hAnsi="Times New Roman" w:cs="Times New Roman"/>
        </w:rPr>
        <w:t xml:space="preserve"> and </w:t>
      </w:r>
      <w:r w:rsidR="00072D7A">
        <w:rPr>
          <w:rFonts w:ascii="Times New Roman" w:hAnsi="Times New Roman" w:cs="Times New Roman"/>
        </w:rPr>
        <w:t xml:space="preserve">influence </w:t>
      </w:r>
      <w:r w:rsidR="004358B7">
        <w:rPr>
          <w:rFonts w:ascii="Times New Roman" w:hAnsi="Times New Roman" w:cs="Times New Roman"/>
        </w:rPr>
        <w:t>the major element composition</w:t>
      </w:r>
      <w:r w:rsidR="00072D7A">
        <w:rPr>
          <w:rFonts w:ascii="Times New Roman" w:hAnsi="Times New Roman" w:cs="Times New Roman"/>
        </w:rPr>
        <w:t xml:space="preserve"> of the silicate</w:t>
      </w:r>
      <w:r w:rsidR="004358B7">
        <w:rPr>
          <w:rFonts w:ascii="Times New Roman" w:hAnsi="Times New Roman" w:cs="Times New Roman"/>
        </w:rPr>
        <w:t xml:space="preserve"> (e.g., reduction in </w:t>
      </w:r>
      <w:proofErr w:type="spellStart"/>
      <w:r w:rsidR="004358B7">
        <w:rPr>
          <w:rFonts w:ascii="Times New Roman" w:hAnsi="Times New Roman" w:cs="Times New Roman"/>
        </w:rPr>
        <w:t>Fe</w:t>
      </w:r>
      <w:r w:rsidR="00072D7A">
        <w:rPr>
          <w:rFonts w:ascii="Times New Roman" w:hAnsi="Times New Roman" w:cs="Times New Roman"/>
        </w:rPr>
        <w:t>O</w:t>
      </w:r>
      <w:proofErr w:type="spellEnd"/>
      <w:r w:rsidR="004358B7">
        <w:rPr>
          <w:rFonts w:ascii="Times New Roman" w:hAnsi="Times New Roman" w:cs="Times New Roman"/>
        </w:rPr>
        <w:t xml:space="preserve"> and </w:t>
      </w:r>
      <w:proofErr w:type="spellStart"/>
      <w:r w:rsidR="004358B7">
        <w:rPr>
          <w:rFonts w:ascii="Times New Roman" w:hAnsi="Times New Roman" w:cs="Times New Roman"/>
        </w:rPr>
        <w:t>Ca</w:t>
      </w:r>
      <w:r w:rsidR="00072D7A">
        <w:rPr>
          <w:rFonts w:ascii="Times New Roman" w:hAnsi="Times New Roman" w:cs="Times New Roman"/>
        </w:rPr>
        <w:t>O</w:t>
      </w:r>
      <w:proofErr w:type="spellEnd"/>
      <w:r w:rsidR="00072D7A">
        <w:rPr>
          <w:rFonts w:ascii="Times New Roman" w:hAnsi="Times New Roman" w:cs="Times New Roman"/>
        </w:rPr>
        <w:t xml:space="preserve"> concentrations</w:t>
      </w:r>
      <w:r w:rsidR="004358B7">
        <w:rPr>
          <w:rFonts w:ascii="Times New Roman" w:hAnsi="Times New Roman" w:cs="Times New Roman"/>
        </w:rPr>
        <w:t>)</w:t>
      </w:r>
      <w:r w:rsidRPr="00372AD9">
        <w:rPr>
          <w:rFonts w:ascii="Times New Roman" w:hAnsi="Times New Roman" w:cs="Times New Roman"/>
        </w:rPr>
        <w:t xml:space="preserve"> at the high- and low-</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xml:space="preserve"> extremes of some of our calculations. If assemblages containing such solid or liquid phases are more stable than the two-phase melt + vapor assemblages we have modelled, the results presented here would represent upper limits on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w:t>
      </w:r>
      <w:r w:rsidR="0072587A">
        <w:rPr>
          <w:rFonts w:ascii="Times New Roman" w:hAnsi="Times New Roman" w:cs="Times New Roman"/>
        </w:rPr>
        <w:fldChar w:fldCharType="begin" w:fldLock="1"/>
      </w:r>
      <w:r w:rsidR="003910EA">
        <w:rPr>
          <w:rFonts w:ascii="Times New Roman" w:hAnsi="Times New Roman" w:cs="Times New Roman"/>
        </w:rPr>
        <w:instrText>ADDIN CSL_CITATION {"citationItems":[{"id":"ITEM-1","itemData":{"author":[{"dropping-particle":"","family":"Hughes","given":"Ery Catherine","non-dropping-particle":"","parse-names":false,"suffix":""},{"dropping-particle":"","family":"Saper","given":"Lee M.","non-dropping-particle":"","parse-names":false,"suffix":""},{"dropping-particle":"","family":"Liggins","given":"Philippa","non-dropping-particle":"","parse-names":false,"suffix":""},{"dropping-particle":"","family":"O'Neill","given":"Hugh St. C.","non-dropping-particle":"","parse-names":false,"suffix":""},{"dropping-particle":"","family":"Stolper","given":"Edward M.","non-dropping-particle":"","parse-names":false,"suffix":""}],"container-title":"Journal of the Geological Society","id":"ITEM-1","issued":{"date-parts":[["2023"]]},"title":"The sulfur solubility minimum and maximum in silicate melt","type":"article-journal"},"uris":["http://www.mendeley.com/documents/?uuid=d3807fa8-bdc8-40c1-adc2-78dd1805fa4f"]}],"mendeley":{"formattedCitation":"(Hughes et al., 2023)","manualFormatting":"(e.g., Hughes et al., 2023)","plainTextFormattedCitation":"(Hughes et al., 2023)","previouslyFormattedCitation":"(Hughes et al., 2023)"},"properties":{"noteIndex":0},"schema":"https://github.com/citation-style-language/schema/raw/master/csl-citation.json"}</w:instrText>
      </w:r>
      <w:r w:rsidR="0072587A">
        <w:rPr>
          <w:rFonts w:ascii="Times New Roman" w:hAnsi="Times New Roman" w:cs="Times New Roman"/>
        </w:rPr>
        <w:fldChar w:fldCharType="separate"/>
      </w:r>
      <w:r w:rsidR="00B25E21" w:rsidRPr="00B25E21">
        <w:rPr>
          <w:rFonts w:ascii="Times New Roman" w:hAnsi="Times New Roman" w:cs="Times New Roman"/>
          <w:noProof/>
        </w:rPr>
        <w:t>(</w:t>
      </w:r>
      <w:r w:rsidR="00B25E21">
        <w:rPr>
          <w:rFonts w:ascii="Times New Roman" w:hAnsi="Times New Roman" w:cs="Times New Roman"/>
          <w:noProof/>
        </w:rPr>
        <w:t xml:space="preserve">e.g., </w:t>
      </w:r>
      <w:r w:rsidR="00B25E21" w:rsidRPr="00B25E21">
        <w:rPr>
          <w:rFonts w:ascii="Times New Roman" w:hAnsi="Times New Roman" w:cs="Times New Roman"/>
          <w:noProof/>
        </w:rPr>
        <w:t>Hughes et al., 2023)</w:t>
      </w:r>
      <w:r w:rsidR="0072587A">
        <w:rPr>
          <w:rFonts w:ascii="Times New Roman" w:hAnsi="Times New Roman" w:cs="Times New Roman"/>
        </w:rPr>
        <w:fldChar w:fldCharType="end"/>
      </w:r>
      <w:r w:rsidRPr="00372AD9">
        <w:rPr>
          <w:rFonts w:ascii="Times New Roman" w:hAnsi="Times New Roman" w:cs="Times New Roman"/>
        </w:rPr>
        <w:t>. At the most reducing conditions we have considered, graphite is a stable</w:t>
      </w:r>
      <w:r w:rsidR="00F4448F">
        <w:rPr>
          <w:rFonts w:ascii="Times New Roman" w:hAnsi="Times New Roman" w:cs="Times New Roman"/>
        </w:rPr>
        <w:t xml:space="preserve"> </w:t>
      </w:r>
      <w:r w:rsidRPr="00372AD9">
        <w:rPr>
          <w:rFonts w:ascii="Times New Roman" w:hAnsi="Times New Roman" w:cs="Times New Roman"/>
        </w:rPr>
        <w:t xml:space="preserve">C-bearing phase. Hence, the increase in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from reduced C-bearing species in the vapor would be limited by the precipitation </w:t>
      </w:r>
      <w:r w:rsidR="00072D7A">
        <w:rPr>
          <w:rFonts w:ascii="Times New Roman" w:hAnsi="Times New Roman" w:cs="Times New Roman"/>
        </w:rPr>
        <w:t xml:space="preserve">of </w:t>
      </w:r>
      <w:r w:rsidRPr="00372AD9">
        <w:rPr>
          <w:rFonts w:ascii="Times New Roman" w:hAnsi="Times New Roman" w:cs="Times New Roman"/>
        </w:rPr>
        <w:t xml:space="preserve">graphite, which would reduce the C content of the melt. However, our calculations, although metastable, are still thermodynamically valid and help us to understand the trends in the regions where melt + vapor is stable. </w:t>
      </w:r>
    </w:p>
    <w:p w14:paraId="3E9E23E9" w14:textId="77777777" w:rsidR="00500516" w:rsidRPr="00372AD9" w:rsidRDefault="00500516" w:rsidP="00372AD9">
      <w:pPr>
        <w:jc w:val="both"/>
        <w:rPr>
          <w:rFonts w:ascii="Times New Roman" w:hAnsi="Times New Roman" w:cs="Times New Roman"/>
        </w:rPr>
      </w:pPr>
    </w:p>
    <w:p w14:paraId="22BFDE05" w14:textId="77777777" w:rsidR="00372AD9" w:rsidRPr="00372AD9" w:rsidRDefault="00372AD9" w:rsidP="00372AD9">
      <w:pPr>
        <w:pStyle w:val="Heading2"/>
        <w:rPr>
          <w:rFonts w:ascii="Times New Roman" w:hAnsi="Times New Roman"/>
          <w:szCs w:val="24"/>
        </w:rPr>
      </w:pPr>
      <w:bookmarkStart w:id="31" w:name="_Ref97727920"/>
      <w:r w:rsidRPr="00372AD9">
        <w:rPr>
          <w:rFonts w:ascii="Times New Roman" w:hAnsi="Times New Roman"/>
          <w:szCs w:val="24"/>
        </w:rPr>
        <w:t xml:space="preserve">Effects of temperature and melt composition on calculated </w:t>
      </w:r>
      <w:proofErr w:type="spellStart"/>
      <w:r w:rsidRPr="00372AD9">
        <w:rPr>
          <w:rFonts w:ascii="Times New Roman" w:hAnsi="Times New Roman"/>
          <w:szCs w:val="24"/>
        </w:rPr>
        <w:t>P</w:t>
      </w:r>
      <w:r w:rsidRPr="00372AD9">
        <w:rPr>
          <w:rFonts w:ascii="Times New Roman" w:hAnsi="Times New Roman"/>
          <w:szCs w:val="24"/>
          <w:vertAlign w:val="superscript"/>
        </w:rPr>
        <w:t>v</w:t>
      </w:r>
      <w:r w:rsidRPr="00372AD9">
        <w:rPr>
          <w:rFonts w:ascii="Times New Roman" w:hAnsi="Times New Roman"/>
          <w:szCs w:val="24"/>
          <w:vertAlign w:val="subscript"/>
        </w:rPr>
        <w:t>sat</w:t>
      </w:r>
      <w:bookmarkEnd w:id="31"/>
      <w:proofErr w:type="spellEnd"/>
    </w:p>
    <w:p w14:paraId="35B51FA9" w14:textId="1D91F359" w:rsidR="00372AD9" w:rsidRPr="00372AD9" w:rsidRDefault="00372AD9" w:rsidP="00147AF9">
      <w:pPr>
        <w:spacing w:after="245"/>
        <w:ind w:firstLine="720"/>
        <w:jc w:val="both"/>
        <w:rPr>
          <w:rFonts w:ascii="Times New Roman" w:hAnsi="Times New Roman" w:cs="Times New Roman"/>
        </w:rPr>
      </w:pPr>
      <w:r w:rsidRPr="00372AD9">
        <w:rPr>
          <w:rFonts w:ascii="Times New Roman" w:hAnsi="Times New Roman" w:cs="Times New Roman"/>
        </w:rPr>
        <w:t xml:space="preserve">We restricted our modelling to a single volatile-free melt composition (a representative Hawaiian tholeiite) at a single </w:t>
      </w:r>
      <w:r w:rsidRPr="00372AD9">
        <w:rPr>
          <w:rFonts w:ascii="Times New Roman" w:hAnsi="Times New Roman" w:cs="Times New Roman"/>
          <w:i/>
          <w:iCs/>
        </w:rPr>
        <w:t>T</w:t>
      </w:r>
      <w:r w:rsidRPr="00372AD9">
        <w:rPr>
          <w:rFonts w:ascii="Times New Roman" w:hAnsi="Times New Roman" w:cs="Times New Roman"/>
        </w:rPr>
        <w:t xml:space="preserve"> (1200°C). We took this approach to isolate the effects of </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xml:space="preserve"> and S, C, and H on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and the coupled speciation of the melt and composition and speciation of the vapor. However, both melt composition and </w:t>
      </w:r>
      <w:r w:rsidRPr="00372AD9">
        <w:rPr>
          <w:rFonts w:ascii="Times New Roman" w:hAnsi="Times New Roman" w:cs="Times New Roman"/>
          <w:i/>
          <w:iCs/>
        </w:rPr>
        <w:t>T</w:t>
      </w:r>
      <w:r w:rsidRPr="00372AD9">
        <w:rPr>
          <w:rFonts w:ascii="Times New Roman" w:hAnsi="Times New Roman" w:cs="Times New Roman"/>
        </w:rPr>
        <w:t xml:space="preserve"> </w:t>
      </w:r>
      <w:r w:rsidR="00072D7A">
        <w:rPr>
          <w:rFonts w:ascii="Times New Roman" w:hAnsi="Times New Roman" w:cs="Times New Roman"/>
        </w:rPr>
        <w:t xml:space="preserve">obviously </w:t>
      </w:r>
      <w:r w:rsidRPr="00372AD9">
        <w:rPr>
          <w:rFonts w:ascii="Times New Roman" w:hAnsi="Times New Roman" w:cs="Times New Roman"/>
        </w:rPr>
        <w:t>vary significantly in nature</w:t>
      </w:r>
      <w:r w:rsidR="00072D7A">
        <w:rPr>
          <w:rFonts w:ascii="Times New Roman" w:hAnsi="Times New Roman" w:cs="Times New Roman"/>
        </w:rPr>
        <w:t>, and these effects have not been considered here</w:t>
      </w:r>
      <w:r w:rsidRPr="00372AD9">
        <w:rPr>
          <w:rFonts w:ascii="Times New Roman" w:hAnsi="Times New Roman" w:cs="Times New Roman"/>
        </w:rPr>
        <w:t xml:space="preserve">. </w:t>
      </w:r>
    </w:p>
    <w:p w14:paraId="008C78EE" w14:textId="36DB2677" w:rsidR="00372AD9" w:rsidRPr="00372AD9" w:rsidRDefault="00372AD9" w:rsidP="00AC4246">
      <w:pPr>
        <w:spacing w:after="245"/>
        <w:ind w:firstLine="720"/>
        <w:jc w:val="both"/>
        <w:rPr>
          <w:rFonts w:ascii="Times New Roman" w:hAnsi="Times New Roman" w:cs="Times New Roman"/>
        </w:rPr>
      </w:pPr>
      <w:r w:rsidRPr="00372AD9">
        <w:rPr>
          <w:rFonts w:ascii="Times New Roman" w:hAnsi="Times New Roman" w:cs="Times New Roman"/>
        </w:rPr>
        <w:lastRenderedPageBreak/>
        <w:t xml:space="preserve">It is well-known that variations in </w:t>
      </w:r>
      <w:r w:rsidRPr="00372AD9">
        <w:rPr>
          <w:rFonts w:ascii="Times New Roman" w:hAnsi="Times New Roman" w:cs="Times New Roman"/>
          <w:i/>
          <w:iCs/>
        </w:rPr>
        <w:t>T</w:t>
      </w:r>
      <w:r w:rsidRPr="00372AD9">
        <w:rPr>
          <w:rFonts w:ascii="Times New Roman" w:hAnsi="Times New Roman" w:cs="Times New Roman"/>
        </w:rPr>
        <w:t xml:space="preserve"> will </w:t>
      </w:r>
      <w:r w:rsidR="00072D7A">
        <w:rPr>
          <w:rFonts w:ascii="Times New Roman" w:hAnsi="Times New Roman" w:cs="Times New Roman"/>
        </w:rPr>
        <w:t>influence</w:t>
      </w:r>
      <w:r w:rsidR="00072D7A" w:rsidRPr="00372AD9">
        <w:rPr>
          <w:rFonts w:ascii="Times New Roman" w:hAnsi="Times New Roman" w:cs="Times New Roman"/>
        </w:rPr>
        <w:t xml:space="preserve"> </w:t>
      </w:r>
      <w:r w:rsidRPr="00372AD9">
        <w:rPr>
          <w:rFonts w:ascii="Times New Roman" w:hAnsi="Times New Roman" w:cs="Times New Roman"/>
        </w:rPr>
        <w:t xml:space="preserve">the </w:t>
      </w:r>
      <w:r w:rsidR="00072D7A">
        <w:rPr>
          <w:rFonts w:ascii="Times New Roman" w:hAnsi="Times New Roman" w:cs="Times New Roman"/>
        </w:rPr>
        <w:t xml:space="preserve">solubilities of volatile component in the melt via the </w:t>
      </w:r>
      <w:r w:rsidR="00072D7A" w:rsidRPr="00072D7A">
        <w:rPr>
          <w:rFonts w:ascii="Times New Roman" w:hAnsi="Times New Roman" w:cs="Times New Roman"/>
          <w:i/>
          <w:iCs/>
        </w:rPr>
        <w:t>T</w:t>
      </w:r>
      <w:r w:rsidR="00072D7A">
        <w:rPr>
          <w:rFonts w:ascii="Times New Roman" w:hAnsi="Times New Roman" w:cs="Times New Roman"/>
        </w:rPr>
        <w:t xml:space="preserve">-dependence of </w:t>
      </w:r>
      <w:r w:rsidRPr="00372AD9">
        <w:rPr>
          <w:rFonts w:ascii="Times New Roman" w:hAnsi="Times New Roman" w:cs="Times New Roman"/>
        </w:rPr>
        <w:t>heterogenous melt-vapor equilibria (equations (</w:t>
      </w:r>
      <w:r w:rsidRPr="00CE3735">
        <w:rPr>
          <w:rFonts w:ascii="Times New Roman" w:hAnsi="Times New Roman" w:cs="Times New Roman"/>
          <w:color w:val="000000" w:themeColor="text1"/>
        </w:rPr>
        <w:t>11–18</w:t>
      </w:r>
      <w:r w:rsidRPr="00372AD9">
        <w:rPr>
          <w:rFonts w:ascii="Times New Roman" w:hAnsi="Times New Roman" w:cs="Times New Roman"/>
          <w:color w:val="000000" w:themeColor="text1"/>
        </w:rPr>
        <w:t>)</w:t>
      </w:r>
      <w:r w:rsidR="00CE3735">
        <w:rPr>
          <w:rFonts w:ascii="Times New Roman" w:hAnsi="Times New Roman" w:cs="Times New Roman"/>
          <w:color w:val="000000" w:themeColor="text1"/>
        </w:rPr>
        <w:t xml:space="preserve"> in </w:t>
      </w:r>
      <w:r w:rsidR="009259DA">
        <w:rPr>
          <w:rFonts w:ascii="Times New Roman" w:hAnsi="Times New Roman" w:cs="Times New Roman"/>
          <w:color w:val="000000" w:themeColor="text1"/>
        </w:rPr>
        <w:t xml:space="preserve">Table 2 of </w:t>
      </w:r>
      <w:r w:rsidR="00CE3735">
        <w:rPr>
          <w:rFonts w:ascii="Times New Roman" w:hAnsi="Times New Roman" w:cs="Times New Roman"/>
          <w:color w:val="000000" w:themeColor="text1"/>
        </w:rPr>
        <w:t>the main text)</w:t>
      </w:r>
      <w:r w:rsidRPr="00372AD9">
        <w:rPr>
          <w:rFonts w:ascii="Times New Roman" w:hAnsi="Times New Roman" w:cs="Times New Roman"/>
        </w:rPr>
        <w:t xml:space="preserve">; the </w:t>
      </w:r>
      <w:r w:rsidRPr="00372AD9">
        <w:rPr>
          <w:rFonts w:ascii="Times New Roman" w:hAnsi="Times New Roman" w:cs="Times New Roman"/>
          <w:i/>
          <w:iCs/>
        </w:rPr>
        <w:t>K</w:t>
      </w:r>
      <w:r w:rsidRPr="00372AD9">
        <w:rPr>
          <w:rFonts w:ascii="Times New Roman" w:hAnsi="Times New Roman" w:cs="Times New Roman"/>
          <w:i/>
          <w:iCs/>
          <w:vertAlign w:val="subscript"/>
        </w:rPr>
        <w:t>i</w:t>
      </w:r>
      <w:r w:rsidRPr="00372AD9">
        <w:rPr>
          <w:rFonts w:ascii="Times New Roman" w:hAnsi="Times New Roman" w:cs="Times New Roman"/>
        </w:rPr>
        <w:t>’s for homogeneous vapor equilibria (equations (</w:t>
      </w:r>
      <w:r w:rsidRPr="00CE3735">
        <w:rPr>
          <w:rFonts w:ascii="Times New Roman" w:hAnsi="Times New Roman" w:cs="Times New Roman"/>
          <w:color w:val="000000" w:themeColor="text1"/>
        </w:rPr>
        <w:t>5–10</w:t>
      </w:r>
      <w:r w:rsidRPr="00372AD9">
        <w:rPr>
          <w:rFonts w:ascii="Times New Roman" w:hAnsi="Times New Roman" w:cs="Times New Roman"/>
        </w:rPr>
        <w:t>)</w:t>
      </w:r>
      <w:r w:rsidR="00CE3735">
        <w:rPr>
          <w:rFonts w:ascii="Times New Roman" w:hAnsi="Times New Roman" w:cs="Times New Roman"/>
        </w:rPr>
        <w:t xml:space="preserve"> in </w:t>
      </w:r>
      <w:r w:rsidR="009259DA">
        <w:rPr>
          <w:rFonts w:ascii="Times New Roman" w:hAnsi="Times New Roman" w:cs="Times New Roman"/>
        </w:rPr>
        <w:t xml:space="preserve">Table 1 of </w:t>
      </w:r>
      <w:r w:rsidR="00CE3735">
        <w:rPr>
          <w:rFonts w:ascii="Times New Roman" w:hAnsi="Times New Roman" w:cs="Times New Roman"/>
        </w:rPr>
        <w:t>the main text)</w:t>
      </w:r>
      <w:r w:rsidRPr="00372AD9">
        <w:rPr>
          <w:rFonts w:ascii="Times New Roman" w:hAnsi="Times New Roman" w:cs="Times New Roman"/>
        </w:rPr>
        <w:t xml:space="preserve">; and the </w:t>
      </w:r>
      <w:proofErr w:type="spellStart"/>
      <w:r w:rsidR="00034877" w:rsidRPr="00CC0D73">
        <w:rPr>
          <w:rFonts w:ascii="Times New Roman" w:hAnsi="Times New Roman" w:cs="Times New Roman"/>
        </w:rPr>
        <w:t>γ</w:t>
      </w:r>
      <w:proofErr w:type="gramStart"/>
      <w:r w:rsidRPr="00372AD9">
        <w:rPr>
          <w:rFonts w:ascii="Times New Roman" w:hAnsi="Times New Roman" w:cs="Times New Roman"/>
          <w:i/>
          <w:iCs/>
          <w:vertAlign w:val="superscript"/>
        </w:rPr>
        <w:t>v</w:t>
      </w:r>
      <w:r w:rsidRPr="00372AD9">
        <w:rPr>
          <w:rFonts w:ascii="Times New Roman" w:hAnsi="Times New Roman" w:cs="Times New Roman"/>
          <w:i/>
          <w:iCs/>
          <w:vertAlign w:val="subscript"/>
        </w:rPr>
        <w:t>i</w:t>
      </w:r>
      <w:r w:rsidRPr="00372AD9">
        <w:rPr>
          <w:rFonts w:ascii="Times New Roman" w:hAnsi="Times New Roman" w:cs="Times New Roman"/>
        </w:rPr>
        <w:t>‘</w:t>
      </w:r>
      <w:proofErr w:type="gramEnd"/>
      <w:r w:rsidRPr="00372AD9">
        <w:rPr>
          <w:rFonts w:ascii="Times New Roman" w:hAnsi="Times New Roman" w:cs="Times New Roman"/>
        </w:rPr>
        <w:t>s</w:t>
      </w:r>
      <w:proofErr w:type="spellEnd"/>
      <w:r w:rsidRPr="00372AD9">
        <w:rPr>
          <w:rFonts w:ascii="Times New Roman" w:hAnsi="Times New Roman" w:cs="Times New Roman"/>
        </w:rPr>
        <w:t xml:space="preserve"> for vapor species. These effects are well-constrained for homogeneous vapor equilibria</w:t>
      </w:r>
      <w:r w:rsidR="00CE3735">
        <w:rPr>
          <w:rFonts w:ascii="Times New Roman" w:hAnsi="Times New Roman" w:cs="Times New Roman"/>
        </w:rPr>
        <w:t xml:space="preserve"> </w:t>
      </w:r>
      <w:r w:rsidR="00CE3735">
        <w:rPr>
          <w:rFonts w:ascii="Times New Roman" w:hAnsi="Times New Roman" w:cs="Times New Roman"/>
        </w:rPr>
        <w:fldChar w:fldCharType="begin" w:fldLock="1"/>
      </w:r>
      <w:r w:rsidR="00CE3735">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systems","type":"article-journal","volume":"277"},"uris":["http://www.mendeley.com/documents/?uuid=27906af5-49a4-3bd3-b34e-e0e09aa8b1e6"]}],"mendeley":{"formattedCitation":"(Ohmoto and Kerrick, 1977)","manualFormatting":"(e.g., Ohmoto and Kerrick, 1977)","plainTextFormattedCitation":"(Ohmoto and Kerrick, 1977)","previouslyFormattedCitation":"(Ohmoto and Kerrick, 1977)"},"properties":{"noteIndex":0},"schema":"https://github.com/citation-style-language/schema/raw/master/csl-citation.json"}</w:instrText>
      </w:r>
      <w:r w:rsidR="00CE3735">
        <w:rPr>
          <w:rFonts w:ascii="Times New Roman" w:hAnsi="Times New Roman" w:cs="Times New Roman"/>
        </w:rPr>
        <w:fldChar w:fldCharType="separate"/>
      </w:r>
      <w:r w:rsidR="00CE3735" w:rsidRPr="00CE3735">
        <w:rPr>
          <w:rFonts w:ascii="Times New Roman" w:hAnsi="Times New Roman" w:cs="Times New Roman"/>
          <w:noProof/>
        </w:rPr>
        <w:t>(</w:t>
      </w:r>
      <w:r w:rsidR="00CE3735">
        <w:rPr>
          <w:rFonts w:ascii="Times New Roman" w:hAnsi="Times New Roman" w:cs="Times New Roman"/>
          <w:noProof/>
        </w:rPr>
        <w:t xml:space="preserve">e.g., </w:t>
      </w:r>
      <w:r w:rsidR="00CE3735" w:rsidRPr="00CE3735">
        <w:rPr>
          <w:rFonts w:ascii="Times New Roman" w:hAnsi="Times New Roman" w:cs="Times New Roman"/>
          <w:noProof/>
        </w:rPr>
        <w:t>Ohmoto and Kerrick, 1977)</w:t>
      </w:r>
      <w:r w:rsidR="00CE3735">
        <w:rPr>
          <w:rFonts w:ascii="Times New Roman" w:hAnsi="Times New Roman" w:cs="Times New Roman"/>
        </w:rPr>
        <w:fldChar w:fldCharType="end"/>
      </w:r>
      <w:r w:rsidRPr="00372AD9">
        <w:rPr>
          <w:rFonts w:ascii="Times New Roman" w:hAnsi="Times New Roman" w:cs="Times New Roman"/>
        </w:rPr>
        <w:t xml:space="preserve"> and </w:t>
      </w:r>
      <w:proofErr w:type="spellStart"/>
      <w:r w:rsidR="00034877" w:rsidRPr="00CC0D73">
        <w:rPr>
          <w:rFonts w:ascii="Times New Roman" w:hAnsi="Times New Roman" w:cs="Times New Roman"/>
        </w:rPr>
        <w:t>γ</w:t>
      </w:r>
      <w:r w:rsidRPr="00372AD9">
        <w:rPr>
          <w:rFonts w:ascii="Times New Roman" w:hAnsi="Times New Roman" w:cs="Times New Roman"/>
          <w:i/>
          <w:iCs/>
          <w:vertAlign w:val="superscript"/>
        </w:rPr>
        <w:t>v</w:t>
      </w:r>
      <w:r w:rsidRPr="00372AD9">
        <w:rPr>
          <w:rFonts w:ascii="Times New Roman" w:hAnsi="Times New Roman" w:cs="Times New Roman"/>
          <w:i/>
          <w:iCs/>
          <w:vertAlign w:val="subscript"/>
        </w:rPr>
        <w:t>i</w:t>
      </w:r>
      <w:r w:rsidRPr="00372AD9">
        <w:rPr>
          <w:rFonts w:ascii="Times New Roman" w:hAnsi="Times New Roman" w:cs="Times New Roman"/>
        </w:rPr>
        <w:t>‘s</w:t>
      </w:r>
      <w:proofErr w:type="spellEnd"/>
      <w:r w:rsidRPr="00372AD9">
        <w:rPr>
          <w:rFonts w:ascii="Times New Roman" w:hAnsi="Times New Roman" w:cs="Times New Roman"/>
        </w:rPr>
        <w:t xml:space="preserve"> </w:t>
      </w:r>
      <w:r w:rsidR="00CE3735">
        <w:rPr>
          <w:rFonts w:ascii="Times New Roman" w:hAnsi="Times New Roman" w:cs="Times New Roman"/>
        </w:rPr>
        <w:fldChar w:fldCharType="begin" w:fldLock="1"/>
      </w:r>
      <w:r w:rsidR="00CE3735">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1992)","manualFormatting":"(e.g., Shi and Saxena, 1992)","plainTextFormattedCitation":"(Shi and Saxena, 1992)","previouslyFormattedCitation":"(Shi and Saxena, 1992)"},"properties":{"noteIndex":0},"schema":"https://github.com/citation-style-language/schema/raw/master/csl-citation.json"}</w:instrText>
      </w:r>
      <w:r w:rsidR="00CE3735">
        <w:rPr>
          <w:rFonts w:ascii="Times New Roman" w:hAnsi="Times New Roman" w:cs="Times New Roman"/>
        </w:rPr>
        <w:fldChar w:fldCharType="separate"/>
      </w:r>
      <w:r w:rsidR="00CE3735" w:rsidRPr="00CE3735">
        <w:rPr>
          <w:rFonts w:ascii="Times New Roman" w:hAnsi="Times New Roman" w:cs="Times New Roman"/>
          <w:noProof/>
        </w:rPr>
        <w:t>(</w:t>
      </w:r>
      <w:r w:rsidR="00CE3735">
        <w:rPr>
          <w:rFonts w:ascii="Times New Roman" w:hAnsi="Times New Roman" w:cs="Times New Roman"/>
          <w:noProof/>
        </w:rPr>
        <w:t xml:space="preserve">e.g., </w:t>
      </w:r>
      <w:r w:rsidR="00CE3735" w:rsidRPr="00CE3735">
        <w:rPr>
          <w:rFonts w:ascii="Times New Roman" w:hAnsi="Times New Roman" w:cs="Times New Roman"/>
          <w:noProof/>
        </w:rPr>
        <w:t>Shi and Saxena, 1992)</w:t>
      </w:r>
      <w:r w:rsidR="00CE3735">
        <w:rPr>
          <w:rFonts w:ascii="Times New Roman" w:hAnsi="Times New Roman" w:cs="Times New Roman"/>
        </w:rPr>
        <w:fldChar w:fldCharType="end"/>
      </w:r>
      <w:r w:rsidRPr="00372AD9">
        <w:rPr>
          <w:rFonts w:ascii="Times New Roman" w:hAnsi="Times New Roman" w:cs="Times New Roman"/>
        </w:rPr>
        <w:t xml:space="preserve">, but </w:t>
      </w:r>
      <w:r w:rsidR="00072D7A">
        <w:rPr>
          <w:rFonts w:ascii="Times New Roman" w:hAnsi="Times New Roman" w:cs="Times New Roman"/>
        </w:rPr>
        <w:t>less well known for the solubilities of most volatile components in vapor-saturated melt</w:t>
      </w:r>
      <w:r w:rsidR="009259DA">
        <w:rPr>
          <w:rFonts w:ascii="Times New Roman" w:hAnsi="Times New Roman" w:cs="Times New Roman"/>
        </w:rPr>
        <w:t xml:space="preserve"> </w:t>
      </w:r>
      <w:r w:rsidR="00CE3735">
        <w:rPr>
          <w:rFonts w:ascii="Times New Roman" w:hAnsi="Times New Roman" w:cs="Times New Roman"/>
        </w:rPr>
        <w:fldChar w:fldCharType="begin" w:fldLock="1"/>
      </w:r>
      <w:r w:rsidR="00E0491E">
        <w:rPr>
          <w:rFonts w:ascii="Times New Roman" w:hAnsi="Times New Roman" w:cs="Times New Roman"/>
        </w:rPr>
        <w:instrText>ADDIN CSL_CITATION {"citationItems":[{"id":"ITEM-1","itemData":{"DOI":"10.1007/S00410-022-01903-Y/FIGURES/10","ISSN":"14320967","abstract":"The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Petrology","id":"ITEM-1","issue":"3","issued":{"date-parts":[["2022","3","1"]]},"page":"1-22","publisher":"Springer Science and Business Media Deutschland GmbH","title":"MafiCH: a general model for H2O–CO2 solubility in mafic magmas","type":"article-journal","volume":"177"},"uris":["http://www.mendeley.com/documents/?uuid=8226be74-5d59-36ea-87c7-c81dfa2b934e"]},{"id":"ITEM-2","itemData":{"DOI":"10.1029/2021EA001932","ISSN":"2333-5084","abstract":"Accurate models of H2O and CO2 solubility in silicate melts are vital for understanding volcanic plumbing systems. These models are used to estimate the depths of magma storage regions from melt inclusion volatile contents, investigate the role of volatile exsolution as a driver of volcanic eruptions, and track the degassing path followed by a magma ascending to the surface. However, despite the large increase in the number of experimental constraints over the last two decades, many recent studies still utilize an earlier generation of models which were calibrated on experimental datasets with restricted compositional ranges. This may be because many of the available tools for more recent models require large numbers of input parameters to be hand-typed (e.g., temperature, concentrations of H2O, CO2, and 8–14 oxides), making them difficult to implement on large datasets. Here, we use a new open-source Python3 tool, VESIcal, to critically evaluate the behaviors and sensitivities of different solubility models for a range of melt compositions. Using literature datasets of andesitic-dacitic experimental products and melt inclusions as case studies, we illustrate the importance of evaluating the calibration dataset of each model. Finally, we highlight the limitations of particular data presentation methods, such as isobar diagrams, and provide suggestions for alternatives, and best practices regarding the presentation and archiving of data. This review will aid the selection of the most applicable solubility model for different melt compositions, and identifies areas where additional experimental constraints on volatile solubility are required.","author":[{"dropping-particle":"","family":"Wieser","given":"P. E.","non-dropping-particle":"","parse-names":false,"suffix":""},{"dropping-particle":"","family":"Iacovino","given":"K.","non-dropping-particle":"","parse-names":false,"suffix":""},{"dropping-particle":"","family":"Matthews","given":"S.","non-dropping-particle":"","parse-names":false,"suffix":""},{"dropping-particle":"","family":"Moore","given":"G.","non-dropping-particle":"","parse-names":false,"suffix":""},{"dropping-particle":"","family":"Allison","given":"Chelsea M.","non-dropping-particle":"","parse-names":false,"suffix":""}],"container-title":"Earth and Space Science","id":"ITEM-2","issue":"2","issued":{"date-parts":[["2022","2","1"]]},"page":"e2021EA001932","publisher":"John Wiley &amp; Sons, Ltd","title":"VESIcal: 2. A Critical Approach to Volatile Solubility Modeling Using an Open-Source Python3 Engine","type":"article-journal","volume":"9"},"uris":["http://www.mendeley.com/documents/?uuid=06bae07b-d82c-35f7-a222-7af88c186174"]},{"id":"ITEM-3","itemData":{"DOI":"10.1007/S00410-010-0588-X/FIGURES/12","ISSN":"00107999","abstract":"Experiments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Petrology","id":"ITEM-3","issue":"1","issued":{"date-parts":[["2011","7","13"]]},"page":"133-151","publisher":"Springer","title":"The H2O solubility of alkali basaltic melts: An experimental study","type":"article-journal","volume":"162"},"uris":["http://www.mendeley.com/documents/?uuid=0b473f09-3a8d-35f3-a370-20542d8405db"]}],"mendeley":{"formattedCitation":"(Allison et al., 2022; Lesne et al., 2011; Wieser et al., 2022)","manualFormatting":"(e.g., Allison et al., 2022; Lesne et al., 2011; Wieser et al., 2022)","plainTextFormattedCitation":"(Allison et al., 2022; Lesne et al., 2011; Wieser et al., 2022)","previouslyFormattedCitation":"(Allison et al., 2022; Lesne et al., 2011; Wieser et al., 2022)"},"properties":{"noteIndex":0},"schema":"https://github.com/citation-style-language/schema/raw/master/csl-citation.json"}</w:instrText>
      </w:r>
      <w:r w:rsidR="00CE3735">
        <w:rPr>
          <w:rFonts w:ascii="Times New Roman" w:hAnsi="Times New Roman" w:cs="Times New Roman"/>
        </w:rPr>
        <w:fldChar w:fldCharType="separate"/>
      </w:r>
      <w:r w:rsidR="003910EA" w:rsidRPr="003910EA">
        <w:rPr>
          <w:rFonts w:ascii="Times New Roman" w:hAnsi="Times New Roman" w:cs="Times New Roman"/>
          <w:noProof/>
        </w:rPr>
        <w:t>(</w:t>
      </w:r>
      <w:r w:rsidR="003910EA">
        <w:rPr>
          <w:rFonts w:ascii="Times New Roman" w:hAnsi="Times New Roman" w:cs="Times New Roman"/>
          <w:noProof/>
        </w:rPr>
        <w:t xml:space="preserve">e.g., </w:t>
      </w:r>
      <w:r w:rsidR="003910EA" w:rsidRPr="003910EA">
        <w:rPr>
          <w:rFonts w:ascii="Times New Roman" w:hAnsi="Times New Roman" w:cs="Times New Roman"/>
          <w:noProof/>
        </w:rPr>
        <w:t>Allison et al., 2022; Lesne et al., 2011; Wieser et al., 2022)</w:t>
      </w:r>
      <w:r w:rsidR="00CE3735">
        <w:rPr>
          <w:rFonts w:ascii="Times New Roman" w:hAnsi="Times New Roman" w:cs="Times New Roman"/>
        </w:rPr>
        <w:fldChar w:fldCharType="end"/>
      </w:r>
      <w:r w:rsidRPr="00372AD9">
        <w:rPr>
          <w:rFonts w:ascii="Times New Roman" w:hAnsi="Times New Roman" w:cs="Times New Roman"/>
        </w:rPr>
        <w:t xml:space="preserve">. For </w:t>
      </w:r>
      <w:r w:rsidR="00072D7A">
        <w:rPr>
          <w:rFonts w:ascii="Times New Roman" w:hAnsi="Times New Roman" w:cs="Times New Roman"/>
        </w:rPr>
        <w:t>example</w:t>
      </w:r>
      <w:r w:rsidRPr="00372AD9">
        <w:rPr>
          <w:rFonts w:ascii="Times New Roman" w:hAnsi="Times New Roman" w:cs="Times New Roman"/>
        </w:rPr>
        <w:t xml:space="preserve">, there is evidence that both </w:t>
      </w:r>
      <w:r w:rsidRPr="00372AD9">
        <w:rPr>
          <w:rFonts w:ascii="Times New Roman" w:hAnsi="Times New Roman" w:cs="Times New Roman"/>
          <w:i/>
          <w:iCs/>
        </w:rPr>
        <w:t>C</w:t>
      </w:r>
      <w:r w:rsidRPr="00372AD9">
        <w:rPr>
          <w:rFonts w:ascii="Times New Roman" w:hAnsi="Times New Roman" w:cs="Times New Roman"/>
          <w:vertAlign w:val="subscript"/>
        </w:rPr>
        <w:t>*S2-</w:t>
      </w:r>
      <w:r w:rsidRPr="00372AD9">
        <w:rPr>
          <w:rFonts w:ascii="Times New Roman" w:hAnsi="Times New Roman" w:cs="Times New Roman"/>
        </w:rPr>
        <w:t xml:space="preserve"> and </w:t>
      </w:r>
      <w:r w:rsidRPr="00372AD9">
        <w:rPr>
          <w:rFonts w:ascii="Times New Roman" w:hAnsi="Times New Roman" w:cs="Times New Roman"/>
          <w:i/>
          <w:iCs/>
        </w:rPr>
        <w:t>C</w:t>
      </w:r>
      <w:r w:rsidRPr="00372AD9">
        <w:rPr>
          <w:rFonts w:ascii="Times New Roman" w:hAnsi="Times New Roman" w:cs="Times New Roman"/>
          <w:vertAlign w:val="subscript"/>
        </w:rPr>
        <w:t>SO42-</w:t>
      </w:r>
      <w:r w:rsidRPr="00372AD9">
        <w:rPr>
          <w:rFonts w:ascii="Times New Roman" w:hAnsi="Times New Roman" w:cs="Times New Roman"/>
        </w:rPr>
        <w:t xml:space="preserve"> are strongly dependent on </w:t>
      </w:r>
      <w:r w:rsidRPr="00372AD9">
        <w:rPr>
          <w:rFonts w:ascii="Times New Roman" w:hAnsi="Times New Roman" w:cs="Times New Roman"/>
          <w:i/>
          <w:iCs/>
        </w:rPr>
        <w:t xml:space="preserve">T </w:t>
      </w:r>
      <w:r w:rsidR="00CE3735">
        <w:rPr>
          <w:rFonts w:ascii="Times New Roman" w:hAnsi="Times New Roman" w:cs="Times New Roman"/>
          <w:i/>
          <w:iCs/>
        </w:rPr>
        <w:fldChar w:fldCharType="begin" w:fldLock="1"/>
      </w:r>
      <w:r w:rsidR="00E0491E">
        <w:rPr>
          <w:rFonts w:ascii="Times New Roman" w:hAnsi="Times New Roman" w:cs="Times New Roman"/>
          <w:i/>
          <w:iCs/>
        </w:rPr>
        <w:instrText xml:space="preserve">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melts","type":"article-journal"},"uris":["http://www.mendeley.com/documents/?uuid=28383afe-41b6-312f-a795-212a394fed74"]},{"id":"ITEM-2","itemData":{"DOI":"10.1093/petrology/43.6.1049","ISSN":"00223530","abstract":"The solubility of sulfur as S2 has been experimentally determined for 19 silicate melt compositions in the system CaOMgO-Al2O3-SiO2 (CMAS) ± TiO2 ± FeO, at 1400°C and 1 bar, using CO-CO2-SO2 gas mixtures to vary oxygen fugacity (fO2) and sulfur fugacity (fS2). For all compositions, the solubility is confirmed to be proportional to (fS2/fO2)1/2, allowing the definition of the sulfide capacity (Cs) of a silicate melt as Cs = [S](fO2/fS2)1/2. Additional experiments covering over 150 melt compositions, including some with Na and K, were then used to determine Cs as a function of melt composition at 1400°C. The results were fitted to the equation CS = AO + ∑MAMXM + BFe-TiXFeXTi, where AFe </w:instrText>
      </w:r>
      <w:r w:rsidR="00E0491E">
        <w:rPr>
          <w:rFonts w:ascii="Cambria Math" w:hAnsi="Cambria Math" w:cs="Cambria Math"/>
          <w:i/>
          <w:iCs/>
        </w:rPr>
        <w:instrText>≫</w:instrText>
      </w:r>
      <w:r w:rsidR="00E0491E">
        <w:rPr>
          <w:rFonts w:ascii="Times New Roman" w:hAnsi="Times New Roman" w:cs="Times New Roman"/>
          <w:i/>
          <w:iCs/>
        </w:rPr>
        <w:instrText xml:space="preserve"> ACa &gt; AMg,ANa/K,ATi. The FeO content of natural basalts is the dominant control on CS. The equation for CS was then combined with the equation for the thermodynamic equilibrium between silicate melt and immiscible FeS-rich sulfide melt, to develop an expression for the sulfur content at sulfide saturation (SCSS) of the silicate melt. The value of SCSS is independent of fO2 and fS2, but shows an asymmetric U-shaped dependence on the FeO content of the silicate melt. Many of the experiments on Fe-containing melt compositions were saturated with immiscible FeS melt, and these experiments were used to calibrate quantitatively SCSS at 1400°C as a function of melt composition.","author":[{"dropping-particle":"","family":"O'Neill","given":"Hugh St. C.","non-dropping-particle":"","parse-names":false,"suffix":""},{"dropping-particle":"","family":"Mavrogenes","given":"John A.","non-dropping-particle":"","parse-names":false,"suffix":""}],"container-title":"Journal of Petrology","id":"ITEM-2","issue":"6","issued":{"date-parts":[["2002","6","1"]]},"page":"1049-1087","publisher":"Oxford Academic","title":"The sulfide capacity and the sulfur content at sulfide saturation of silicate melts at 1400°C and 1 bar","type":"article-journal","volume":"43"},"uris":["http://www.mendeley.com/documents/?uuid=fa1be182-e32a-3e7a-9548-d65b2dec32f2"]},{"id":"ITEM-3","itemData":{"DOI":"10.1002/9781119473206.ch10","abstract":"A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R.","non-dropping-particle":"","parse-names":false,"suffix":""}],"id":"ITEM-3","issued":{"date-parts":[["2021"]]},"page":"177-213","publisher":"John Wiley &amp; Sons, Inc.","title":"The thermodynamic controls on sulfide saturation in silicate melts with application to Ocean Floor Basalts.","type":"chapter"},"uris":["http://www.mendeley.com/documents/?uuid=6f3ae3ca-6ecd-3137-8bfc-f37a8f3fea2a"]},{"id":"ITEM-4","itemData":{"DOI":"10.1016/j.gca.2022.08.032","author":[{"dropping-particle":"","family":"Boulliung","given":"Julien","non-dropping-particle":"","parse-names":false,"suffix":""},{"dropping-particle":"","family":"Wood","given":"Bernard J.","non-dropping-particle":"","parse-names":false,"suffix":""}],"container-title":"Geochimica et Cosmochimica Acta Volume , 1 November 2022, Pages 150-164","id":"ITEM-4","issued":{"date-parts":[["2022"]]},"page":"150-164","title":"SO2 solubility and degassing behavior in silicate melts","type":"article-journal","volume":"336"},"uris":["http://www.mendeley.com/documents/?uuid=7eb4d60b-d94d-440e-bd68-afce2f65efa3"]},{"id":"ITEM-5","itemData":{"DOI":"10.1016/J.EPSL.2018.12.006","ISSN":"0012-821X","abstract":"We have determined the chemical speciation of dissolved sulfur and the sulfur concentration at fixed oxygen and sulfur fugacities for a wide range of silicate melt compositions (from Fe-rich basalt to dacite). Each melt was equilibrated at 1300°C and 1-atmosphere pressure at oxygen fugacities (fO2) between −1.67 and +1.6 log units relative to the Fayalite–Magnetite–Quartz (FMQ) buffer and absolute sulfur fugacities between −5.1 and −1.2 log units. The fO2 and fS2 of the experiments were controlled by using gas mixtures of CO–CO2–SO2. The speciation of sulfur in the quenched glasses was determined using both X-ray Absorption Near-Edge Spectroscopy (XANES), and from the dependence of equilibrium sulfur concentration on the fS2/fO2 ratio measured by secondary-ion mass spectrometry (SIMS) and electron microprobe. The speciation of dissolved sulfur in each melt undergoes an abrupt transformation from S2− to S6+ with increasing fO2, and this transition is shifted </w:instrText>
      </w:r>
      <w:r w:rsidR="00E0491E">
        <w:rPr>
          <w:rFonts w:ascii="Cambria Math" w:hAnsi="Cambria Math" w:cs="Cambria Math"/>
          <w:i/>
          <w:iCs/>
        </w:rPr>
        <w:instrText>∼</w:instrText>
      </w:r>
      <w:r w:rsidR="00E0491E">
        <w:rPr>
          <w:rFonts w:ascii="Times New Roman" w:hAnsi="Times New Roman" w:cs="Times New Roman"/>
          <w:i/>
          <w:iCs/>
        </w:rPr>
        <w:instrText xml:space="preserve">0.5 log units higher in fO2 as melt FeO concentration increases from </w:instrText>
      </w:r>
      <w:r w:rsidR="00E0491E">
        <w:rPr>
          <w:rFonts w:ascii="Cambria Math" w:hAnsi="Cambria Math" w:cs="Cambria Math"/>
          <w:i/>
          <w:iCs/>
        </w:rPr>
        <w:instrText>∼</w:instrText>
      </w:r>
      <w:r w:rsidR="00E0491E">
        <w:rPr>
          <w:rFonts w:ascii="Times New Roman" w:hAnsi="Times New Roman" w:cs="Times New Roman"/>
          <w:i/>
          <w:iCs/>
        </w:rPr>
        <w:instrText xml:space="preserve">5 wt% to </w:instrText>
      </w:r>
      <w:r w:rsidR="00E0491E">
        <w:rPr>
          <w:rFonts w:ascii="Cambria Math" w:hAnsi="Cambria Math" w:cs="Cambria Math"/>
          <w:i/>
          <w:iCs/>
        </w:rPr>
        <w:instrText>∼</w:instrText>
      </w:r>
      <w:r w:rsidR="00E0491E">
        <w:rPr>
          <w:rFonts w:ascii="Times New Roman" w:hAnsi="Times New Roman" w:cs="Times New Roman"/>
          <w:i/>
          <w:iCs/>
        </w:rPr>
        <w:instrText>18 wt%. Since sulfide concentrations at constant fO2 and fS2 are consistently greater for more FeO-rich melts, the compositional effect on speciation may be explained by the well-known sensitivity of the sulfide capacity (CS2−) of the melt to FeO concentration. S6+/S2− ratios for the glasses exhibit a linear relationship with Fe3+/Fe2+, indicating that the redox couples for iron and sulfur can be directly related to one another. We used thermodynamic data to model the interrelationship between Fe and S oxidation states in terms of the equilibriumFeS+8FeO1.5=8FeO+FeSO4 Fitting the data to our experiments at 1300°C we obtained the following expression for the temperature-dependence of speciation:log⁡(S6+S2−)=8log⁡(Fe3+Fe2+)+8.7436×106T2−27703T+20.273 This equation fits the data for all our compositions and is also consistent with earlier results at 1050°C and 950°C. We used the interdependence of S and Fe oxidation states to infer electron transfer between Fe2+ and S6+ during quenching of glasses from Mauna Kea, Hawaii. The effect is sufficient to cause significant overestimation of equilibrium Fe3+/ΣFe in natural glasses and corresponding overestimate of fO2 by about 0.8 log units. Glasses equilibrated under the most oxidizing conditions (containing S6+ only) have equilibrium S concentrations that are negatively correlated with their mole fractions of tetrahedral (Si + Ti) cations.","author":[{"dropping-particle":"","family":"Nash","given":"William M.","non-dropping-particle":"","parse-names":false,"suffix":""},{"dropping-particle":"","family":"Smythe","given":"Duane J.","non-dropping-particle":"","parse-names":false,"suffix":""},{"dropping-particle":"","family":"Wood","given":"Bernard J.","non-dropping-particle":"","parse-names":false,"suffix":""}],"container-title":"Earth and Planetary Science Letters","id":"ITEM-5","issued":{"date-parts":[["2019","2","1"]]},"page":"187-198","publisher":"Elsevier","title":"Compositional and temperature effects on sulfur speciation and solubility in silicate melts","type":"article-journal","volume":"507"},"uris":["http://www.mendeley.com/documents/?uuid=992cf628-d31a-39e9-9a21-2733c4817579"]},{"id":"ITEM-6","itemData":{"DOI":"10.1016/J.GCA.2004.09.006","ISSN":"0016-7037","abstract":"A Conjugated Toop-Samis-Flood-Grjotheim (CTSFG) model is developed by combining the framework of the Toop-Samis polymeric approach with the Flood-Grjotheim theoretical treatment of silicate melts and slags. Electrically equivalent ion fractions are computed over the appropriate matrixes (anionic and cationic) in a Temkin notation for fused salts, and are used to weigh the contribution of the various disproportionation reactions of type:\nM2/νO(melt)+½S2(gas)</w:instrText>
      </w:r>
      <w:r w:rsidR="00E0491E">
        <w:rPr>
          <w:rFonts w:ascii="Cambria Math" w:hAnsi="Cambria Math" w:cs="Cambria Math"/>
          <w:i/>
          <w:iCs/>
        </w:rPr>
        <w:instrText>⇔</w:instrText>
      </w:r>
      <w:r w:rsidR="00E0491E">
        <w:rPr>
          <w:rFonts w:ascii="Times New Roman" w:hAnsi="Times New Roman" w:cs="Times New Roman"/>
          <w:i/>
          <w:iCs/>
        </w:rPr>
        <w:instrText>M2/νS(melt)+½O2(gas)M2/νO(melt)+½S2(gas)+32O2,(gas)</w:instrText>
      </w:r>
      <w:r w:rsidR="00E0491E">
        <w:rPr>
          <w:rFonts w:ascii="Cambria Math" w:hAnsi="Cambria Math" w:cs="Cambria Math"/>
          <w:i/>
          <w:iCs/>
        </w:rPr>
        <w:instrText>⇔</w:instrText>
      </w:r>
      <w:r w:rsidR="00E0491E">
        <w:rPr>
          <w:rFonts w:ascii="Times New Roman" w:hAnsi="Times New Roman" w:cs="Times New Roman"/>
          <w:i/>
          <w:iCs/>
        </w:rPr>
        <w:instrText>M2/νSO4(melt) ν being the charge of the generic Mν+ cation. The extension of the anionic matrix is calculated in the framework of a previously developed polymeric model (Ottonello et al., 2001), based on a parameterization of Lux-Flood acid-base properties of melt components. Model activities follow the Raoultian behavior implicit in the Temkin notation, without the needs of introducing adjustable parameters. The CTSFG model is based on a large amount of data available in literature and exhibits a satisfactory heuristic capability, with virtually no compositional limits, as long as the structural role given to each oxide holds. The model may be employed to compute gas-melt equilibria involving sulfur and allows computing sulfide and sulfate contents of silicate melts whenever the fugacity of a gaseous sulfur species and oxygen are known. Alternatively, the model calculates the oxidation state of the system (i.e., oxygen fugacity), whenever an analytical determination of either sulfide/sulfate or ferrous/ferric ratios in the melt is provided. Calculated sulfide and sulfate capacities allow the estimates of sulfur abundance in various melts of geological interest, both under anhydrous and hydrous conditions or, alternatively, of fS2, given fO2 and the bulk sulfur content. In this case, fSO2 and fH2S may be eventually computed along the water-sulfur-melt boundary provided fH2O is known.","author":[{"dropping-particle":"","family":"Moretti","given":"Roberto","non-dropping-particle":"","parse-names":false,"suffix":""},{"dropping-particle":"","family":"Ottonello","given":"Giulio","non-dropping-particle":"","parse-names":false,"suffix":""}],"container-title":"Geochimica et Cosmochimica Acta","id":"ITEM-6","issue":"4","issued":{"date-parts":[["2005","2","15"]]},"page":"801-823","publisher":"Pergamon","title":"Solubility and speciation of sulfur in silicate melts: The Conjugated Toop-Samis-Flood-Grjotheim (CTSFG) model","type":"article-journal","volume":"69"},"uris":["http://www.mendeley.com/documents/?uuid=9a0702e1-597c-3421-9ccb-e12463875cc0"]}],"mendeley":{"formattedCitation":"(Boulliung and Wood, 2022; Moretti and Ottonello, 2005; Nash et al., 2019; O’Neill, 2021; O’Neill and Mavrogenes, 2022, 2002)","manualFormatting":"(e.g., Boulliung and Wood, 2022; Moretti and Ottonello, 2005; Nash et al., 2019; O’Neill, 2021; O’Neill and Mavrogenes, 2002, 2022)","plainTextFormattedCitation":"(Boulliung and Wood, 2022; Moretti and Ottonello, 2005; Nash et al., 2019; O’Neill, 2021; O’Neill and Mavrogenes, 2022, 2002)","previouslyFormattedCitation":"(Boulliung and Wood, 2022; Moretti and Ottonello, 2005; Nash et al., 2019; O’Neill, 2021; O’Neill and Mavrogenes, 2022, 2002)"},"properties":{"noteIndex":0},"schema":"https://github.com/citation-style-language/schema/raw/master/csl-citation.json"}</w:instrText>
      </w:r>
      <w:r w:rsidR="00CE3735">
        <w:rPr>
          <w:rFonts w:ascii="Times New Roman" w:hAnsi="Times New Roman" w:cs="Times New Roman"/>
          <w:i/>
          <w:iCs/>
        </w:rPr>
        <w:fldChar w:fldCharType="separate"/>
      </w:r>
      <w:r w:rsidR="00B25E21" w:rsidRPr="00B25E21">
        <w:rPr>
          <w:rFonts w:ascii="Times New Roman" w:hAnsi="Times New Roman" w:cs="Times New Roman"/>
          <w:iCs/>
          <w:noProof/>
        </w:rPr>
        <w:t>(</w:t>
      </w:r>
      <w:r w:rsidR="00B25E21">
        <w:rPr>
          <w:rFonts w:ascii="Times New Roman" w:hAnsi="Times New Roman" w:cs="Times New Roman"/>
          <w:iCs/>
          <w:noProof/>
        </w:rPr>
        <w:t xml:space="preserve">e.g., </w:t>
      </w:r>
      <w:r w:rsidR="00B25E21" w:rsidRPr="00B25E21">
        <w:rPr>
          <w:rFonts w:ascii="Times New Roman" w:hAnsi="Times New Roman" w:cs="Times New Roman"/>
          <w:iCs/>
          <w:noProof/>
        </w:rPr>
        <w:t>Boulliung and Wood, 2022; Moretti and Ottonello, 2005; Nash et al., 2019; O’Neill, 2021; O’Neill and Mavrogenes, 2002, 2022)</w:t>
      </w:r>
      <w:r w:rsidR="00CE3735">
        <w:rPr>
          <w:rFonts w:ascii="Times New Roman" w:hAnsi="Times New Roman" w:cs="Times New Roman"/>
          <w:i/>
          <w:iCs/>
        </w:rPr>
        <w:fldChar w:fldCharType="end"/>
      </w:r>
      <w:r w:rsidRPr="00372AD9">
        <w:rPr>
          <w:rFonts w:ascii="Times New Roman" w:hAnsi="Times New Roman" w:cs="Times New Roman"/>
        </w:rPr>
        <w:t xml:space="preserve">. </w:t>
      </w:r>
    </w:p>
    <w:p w14:paraId="1D155581" w14:textId="665265C4" w:rsidR="00653552" w:rsidRDefault="00372AD9" w:rsidP="00D61BC9">
      <w:pPr>
        <w:spacing w:after="245"/>
        <w:ind w:firstLine="720"/>
        <w:jc w:val="both"/>
        <w:rPr>
          <w:rFonts w:ascii="Times New Roman" w:hAnsi="Times New Roman" w:cs="Times New Roman"/>
        </w:rPr>
      </w:pPr>
      <w:r w:rsidRPr="00372AD9">
        <w:rPr>
          <w:rFonts w:ascii="Times New Roman" w:hAnsi="Times New Roman" w:cs="Times New Roman"/>
        </w:rPr>
        <w:t>Even for a fixed volatile-free melt composition, the Fe</w:t>
      </w:r>
      <w:r w:rsidRPr="00372AD9">
        <w:rPr>
          <w:rFonts w:ascii="Times New Roman" w:hAnsi="Times New Roman" w:cs="Times New Roman"/>
          <w:vertAlign w:val="superscript"/>
        </w:rPr>
        <w:t>3+</w:t>
      </w:r>
      <w:r w:rsidRPr="00372AD9">
        <w:rPr>
          <w:rFonts w:ascii="Times New Roman" w:hAnsi="Times New Roman" w:cs="Times New Roman"/>
        </w:rPr>
        <w:t>/</w:t>
      </w:r>
      <w:proofErr w:type="spellStart"/>
      <w:r w:rsidRPr="00372AD9">
        <w:rPr>
          <w:rFonts w:ascii="Times New Roman" w:hAnsi="Times New Roman" w:cs="Times New Roman"/>
        </w:rPr>
        <w:t>Fe</w:t>
      </w:r>
      <w:r w:rsidRPr="00372AD9">
        <w:rPr>
          <w:rFonts w:ascii="Times New Roman" w:hAnsi="Times New Roman" w:cs="Times New Roman"/>
          <w:vertAlign w:val="subscript"/>
        </w:rPr>
        <w:t>T</w:t>
      </w:r>
      <w:proofErr w:type="spellEnd"/>
      <w:r w:rsidRPr="00372AD9">
        <w:rPr>
          <w:rFonts w:ascii="Times New Roman" w:hAnsi="Times New Roman" w:cs="Times New Roman"/>
        </w:rPr>
        <w:t xml:space="preserve"> in the melt depends on </w:t>
      </w:r>
      <w:r w:rsidRPr="00372AD9">
        <w:rPr>
          <w:rFonts w:ascii="Times New Roman" w:hAnsi="Times New Roman" w:cs="Times New Roman"/>
          <w:i/>
          <w:iCs/>
        </w:rPr>
        <w:t>f</w:t>
      </w:r>
      <w:r w:rsidRPr="00372AD9">
        <w:rPr>
          <w:rFonts w:ascii="Times New Roman" w:hAnsi="Times New Roman" w:cs="Times New Roman"/>
          <w:vertAlign w:val="subscript"/>
        </w:rPr>
        <w:t>O2</w:t>
      </w:r>
      <w:r w:rsidR="00791B3F">
        <w:rPr>
          <w:rFonts w:ascii="Times New Roman" w:hAnsi="Times New Roman" w:cs="Times New Roman"/>
        </w:rPr>
        <w:t xml:space="preserve"> (e.g., </w:t>
      </w:r>
      <w:proofErr w:type="spellStart"/>
      <w:r w:rsidR="00791B3F">
        <w:rPr>
          <w:rFonts w:ascii="Times New Roman" w:hAnsi="Times New Roman" w:cs="Times New Roman"/>
        </w:rPr>
        <w:t>Wieser</w:t>
      </w:r>
      <w:proofErr w:type="spellEnd"/>
      <w:r w:rsidR="00791B3F">
        <w:rPr>
          <w:rFonts w:ascii="Times New Roman" w:hAnsi="Times New Roman" w:cs="Times New Roman"/>
        </w:rPr>
        <w:t xml:space="preserve"> et al., 2022)</w:t>
      </w:r>
      <w:r w:rsidR="00896FE2">
        <w:rPr>
          <w:rFonts w:ascii="Times New Roman" w:hAnsi="Times New Roman" w:cs="Times New Roman"/>
        </w:rPr>
        <w:t xml:space="preserve">; </w:t>
      </w:r>
      <w:r w:rsidR="00072D7A">
        <w:rPr>
          <w:rFonts w:ascii="Times New Roman" w:hAnsi="Times New Roman" w:cs="Times New Roman"/>
        </w:rPr>
        <w:t>and this could influence the solubilit</w:t>
      </w:r>
      <w:r w:rsidR="009259DA">
        <w:rPr>
          <w:rFonts w:ascii="Times New Roman" w:hAnsi="Times New Roman" w:cs="Times New Roman"/>
        </w:rPr>
        <w:t>i</w:t>
      </w:r>
      <w:r w:rsidR="00072D7A">
        <w:rPr>
          <w:rFonts w:ascii="Times New Roman" w:hAnsi="Times New Roman" w:cs="Times New Roman"/>
        </w:rPr>
        <w:t>es of volatile components in the melt via structural changes results from changes in the Fe oxidation state</w:t>
      </w:r>
      <w:r w:rsidRPr="00372AD9">
        <w:rPr>
          <w:rFonts w:ascii="Times New Roman" w:hAnsi="Times New Roman" w:cs="Times New Roman"/>
        </w:rPr>
        <w:t xml:space="preserve">. </w:t>
      </w:r>
      <w:r w:rsidR="00072D7A">
        <w:rPr>
          <w:rFonts w:ascii="Times New Roman" w:hAnsi="Times New Roman" w:cs="Times New Roman"/>
        </w:rPr>
        <w:t>Additionally, t</w:t>
      </w:r>
      <w:r w:rsidR="00072D7A" w:rsidRPr="00372AD9">
        <w:rPr>
          <w:rFonts w:ascii="Times New Roman" w:hAnsi="Times New Roman" w:cs="Times New Roman"/>
        </w:rPr>
        <w:t xml:space="preserve">he </w:t>
      </w:r>
      <w:r w:rsidRPr="00372AD9">
        <w:rPr>
          <w:rFonts w:ascii="Times New Roman" w:hAnsi="Times New Roman" w:cs="Times New Roman"/>
        </w:rPr>
        <w:t xml:space="preserve">dependences of </w:t>
      </w:r>
      <w:proofErr w:type="spellStart"/>
      <w:r w:rsidR="00B25E21" w:rsidRPr="00372AD9">
        <w:rPr>
          <w:rFonts w:ascii="Times New Roman" w:hAnsi="Times New Roman" w:cs="Times New Roman"/>
        </w:rPr>
        <w:t>sul</w:t>
      </w:r>
      <w:r w:rsidR="00B25E21">
        <w:rPr>
          <w:rFonts w:ascii="Times New Roman" w:hAnsi="Times New Roman" w:cs="Times New Roman"/>
        </w:rPr>
        <w:t>f</w:t>
      </w:r>
      <w:r w:rsidR="00B25E21" w:rsidRPr="00372AD9">
        <w:rPr>
          <w:rFonts w:ascii="Times New Roman" w:hAnsi="Times New Roman" w:cs="Times New Roman"/>
        </w:rPr>
        <w:t>ide</w:t>
      </w:r>
      <w:proofErr w:type="spellEnd"/>
      <w:r w:rsidR="00B25E21" w:rsidRPr="00372AD9">
        <w:rPr>
          <w:rFonts w:ascii="Times New Roman" w:hAnsi="Times New Roman" w:cs="Times New Roman"/>
        </w:rPr>
        <w:t xml:space="preserve"> </w:t>
      </w:r>
      <w:r w:rsidRPr="00372AD9">
        <w:rPr>
          <w:rFonts w:ascii="Times New Roman" w:hAnsi="Times New Roman" w:cs="Times New Roman"/>
        </w:rPr>
        <w:t xml:space="preserve">and </w:t>
      </w:r>
      <w:proofErr w:type="spellStart"/>
      <w:r w:rsidRPr="00372AD9">
        <w:rPr>
          <w:rFonts w:ascii="Times New Roman" w:hAnsi="Times New Roman" w:cs="Times New Roman"/>
        </w:rPr>
        <w:t>sulfate</w:t>
      </w:r>
      <w:proofErr w:type="spellEnd"/>
      <w:r w:rsidRPr="00372AD9">
        <w:rPr>
          <w:rFonts w:ascii="Times New Roman" w:hAnsi="Times New Roman" w:cs="Times New Roman"/>
        </w:rPr>
        <w:t xml:space="preserve"> </w:t>
      </w:r>
      <w:r w:rsidR="00072D7A" w:rsidRPr="00372AD9">
        <w:rPr>
          <w:rFonts w:ascii="Times New Roman" w:hAnsi="Times New Roman" w:cs="Times New Roman"/>
        </w:rPr>
        <w:t>capacit</w:t>
      </w:r>
      <w:r w:rsidR="00072D7A">
        <w:rPr>
          <w:rFonts w:ascii="Times New Roman" w:hAnsi="Times New Roman" w:cs="Times New Roman"/>
        </w:rPr>
        <w:t>ies</w:t>
      </w:r>
      <w:r w:rsidR="00072D7A" w:rsidRPr="00372AD9">
        <w:rPr>
          <w:rFonts w:ascii="Times New Roman" w:hAnsi="Times New Roman" w:cs="Times New Roman"/>
        </w:rPr>
        <w:t xml:space="preserve"> </w:t>
      </w:r>
      <w:r w:rsidRPr="00372AD9">
        <w:rPr>
          <w:rFonts w:ascii="Times New Roman" w:hAnsi="Times New Roman" w:cs="Times New Roman"/>
        </w:rPr>
        <w:t>on variations of Fe</w:t>
      </w:r>
      <w:r w:rsidRPr="00372AD9">
        <w:rPr>
          <w:rFonts w:ascii="Times New Roman" w:hAnsi="Times New Roman" w:cs="Times New Roman"/>
          <w:vertAlign w:val="superscript"/>
        </w:rPr>
        <w:t>3+/</w:t>
      </w:r>
      <w:r w:rsidRPr="00372AD9">
        <w:rPr>
          <w:rFonts w:ascii="Times New Roman" w:hAnsi="Times New Roman" w:cs="Times New Roman"/>
        </w:rPr>
        <w:t>Fe</w:t>
      </w:r>
      <w:r w:rsidRPr="00372AD9">
        <w:rPr>
          <w:rFonts w:ascii="Times New Roman" w:hAnsi="Times New Roman" w:cs="Times New Roman"/>
          <w:vertAlign w:val="superscript"/>
        </w:rPr>
        <w:t>2+</w:t>
      </w:r>
      <w:r w:rsidRPr="00372AD9">
        <w:rPr>
          <w:rFonts w:ascii="Times New Roman" w:hAnsi="Times New Roman" w:cs="Times New Roman"/>
        </w:rPr>
        <w:t xml:space="preserve"> (and therefore on </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in a melt that is otherwise constant in chemical composition are not currently known</w:t>
      </w:r>
      <w:r w:rsidR="003E1A7A">
        <w:rPr>
          <w:rFonts w:ascii="Times New Roman" w:hAnsi="Times New Roman" w:cs="Times New Roman"/>
        </w:rPr>
        <w:t xml:space="preserve"> </w:t>
      </w:r>
      <w:r w:rsidR="003E1A7A">
        <w:rPr>
          <w:rFonts w:ascii="Times New Roman" w:hAnsi="Times New Roman" w:cs="Times New Roman"/>
          <w:i/>
          <w:iCs/>
        </w:rPr>
        <w:fldChar w:fldCharType="begin" w:fldLock="1"/>
      </w:r>
      <w:r w:rsidR="00923A61">
        <w:rPr>
          <w:rFonts w:ascii="Times New Roman" w:hAnsi="Times New Roman" w:cs="Times New Roman"/>
          <w:i/>
          <w:iCs/>
        </w:rPr>
        <w:instrText>ADDIN CSL_CITATION {"citationItems":[{"id":"ITEM-1","itemData":{"DOI":"10.1016/J.GCA.2022.06.020","ISSN":"0016-7037","author":[{"dropping-particle":"","family":"O'Neill","given":"Hugh St. C.","non-dropping-particle":"","parse-names":false,"suffix":""},{"dropping-particle":"","family":"Mavrogenes","given":"John A.","non-dropping-particle":"","parse-names":false,"suffix":""}],"container-title":"Geochimica et Cosmochimica Acta","id":"ITEM-1","issued":{"date-parts":[["2022","6","27"]]},"publisher":"Pergamon","title":"The sulfate capacities of silicate melts","type":"article-journal"},"uris":["http://www.mendeley.com/documents/?uuid=28383afe-41b6-312f-a795-212a394fed74"]},{"id":"ITEM-2","itemData":{"DOI":"10.1002/9781119473206.ch10","abstract":"A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R.","non-dropping-particle":"","parse-names":false,"suffix":""}],"id":"ITEM-2","issued":{"date-parts":[["2021"]]},"page":"177-213","publisher":"John Wiley &amp; Sons, Inc.","title":"The thermodynamic controls on sulfide saturation in silicate melts with application to Ocean Floor Basalts.","type":"chapter"},"uris":["http://www.mendeley.com/documents/?uuid=6f3ae3ca-6ecd-3137-8bfc-f37a8f3fea2a"]},{"id":"ITEM-3","itemData":{"DOI":"10.1016/J.GCA.2004.09.006","ISSN":"0016-7037","abstract":"A Conjugated Toop-Samis-Flood-Grjotheim (CTSFG) model is developed by combining the framework of the Toop-Samis polymeric approach with the Flood-Grjotheim theoretical treatment of silicate melts and slags. Electrically equivalent ion fractions are computed over the appropriate matrixes (anionic and cationic) in a Temkin notation for fused salts, and are used to weigh the contribution of the various disproportionation reactions of type:\nM2/νO(melt)+½S2(gas)</w:instrText>
      </w:r>
      <w:r w:rsidR="00923A61">
        <w:rPr>
          <w:rFonts w:ascii="Cambria Math" w:hAnsi="Cambria Math" w:cs="Cambria Math"/>
          <w:i/>
          <w:iCs/>
        </w:rPr>
        <w:instrText>⇔</w:instrText>
      </w:r>
      <w:r w:rsidR="00923A61">
        <w:rPr>
          <w:rFonts w:ascii="Times New Roman" w:hAnsi="Times New Roman" w:cs="Times New Roman"/>
          <w:i/>
          <w:iCs/>
        </w:rPr>
        <w:instrText>M2/νS(melt)+½O2(gas)M2/νO(melt)+½S2(gas)+32O2,(gas)</w:instrText>
      </w:r>
      <w:r w:rsidR="00923A61">
        <w:rPr>
          <w:rFonts w:ascii="Cambria Math" w:hAnsi="Cambria Math" w:cs="Cambria Math"/>
          <w:i/>
          <w:iCs/>
        </w:rPr>
        <w:instrText>⇔</w:instrText>
      </w:r>
      <w:r w:rsidR="00923A61">
        <w:rPr>
          <w:rFonts w:ascii="Times New Roman" w:hAnsi="Times New Roman" w:cs="Times New Roman"/>
          <w:i/>
          <w:iCs/>
        </w:rPr>
        <w:instrText>M2/νSO4(melt) ν being the charge of the generic Mν+ cation. The extension of the anionic matrix is calculated in the framework of a previously developed polymeric model (Ottonello et al., 2001), based on a parameterization of Lux-Flood acid-base properties of melt components. Model activities follow the Raoultian behavior implicit in the Temkin notation, without the needs of introducing adjustable parameters. The CTSFG model is based on a large amount of data available in literature and exhibits a satisfactory heuristic capability, with virtually no compositional limits, as long as the structural role given to each oxide holds. The model may be employed to compute gas-melt equilibria involving sulfur and allows computing sulfide and sulfate contents of silicate melts whenever the fugacity of a gaseous sulfur species and oxygen are known. Alternatively, the model calculates the oxidation state of the system (i.e., oxygen fugacity), whenever an analytical determination of either sulfide/sulfate or ferrous/ferric ratios in the melt is provided. Calculated sulfide and sulfate capacities allow the estimates of sulfur abundance in various melts of geological interest, both under anhydrous and hydrous conditions or, alternatively, of fS2, given fO2 and the bulk sulfur content. In this case, fSO2 and fH2S may be eventually computed along the water-sulfur-melt boundary provided fH2O is known.","author":[{"dropping-particle":"","family":"Moretti","given":"Roberto","non-dropping-particle":"","parse-names":false,"suffix":""},{"dropping-particle":"","family":"Ottonello","given":"Giulio","non-dropping-particle":"","parse-names":false,"suffix":""}],"container-title":"Geochimica et Cosmochimica Acta","id":"ITEM-3","issue":"4","issued":{"date-parts":[["2005","2","15"]]},"page":"801-823","publisher":"Pergamon","title":"Solubility and speciation of sulfur in silicate melts: The Conjugated Toop-Samis-Flood-Grjotheim (CTSFG) model","type":"article-journal","volume":"69"},"uris":["http://www.mendeley.com/documents/?uuid=9a0702e1-597c-3421-9ccb-e12463875cc0"]}],"mendeley":{"formattedCitation":"(Moretti and Ottonello, 2005; O’Neill, 2021; O’Neill and Mavrogenes, 2022)","manualFormatting":"(e.g., Moretti and Ottonello, 2005; O’Neill, 2021; O’Neill and Mavrogenes, 2022)","plainTextFormattedCitation":"(Moretti and Ottonello, 2005; O’Neill, 2021; O’Neill and Mavrogenes, 2022)","previouslyFormattedCitation":"(Moretti and Ottonello, 2005; O’Neill, 2021; O’Neill and Mavrogenes, 2022)"},"properties":{"noteIndex":0},"schema":"https://github.com/citation-style-language/schema/raw/master/csl-citation.json"}</w:instrText>
      </w:r>
      <w:r w:rsidR="003E1A7A">
        <w:rPr>
          <w:rFonts w:ascii="Times New Roman" w:hAnsi="Times New Roman" w:cs="Times New Roman"/>
          <w:i/>
          <w:iCs/>
        </w:rPr>
        <w:fldChar w:fldCharType="separate"/>
      </w:r>
      <w:r w:rsidR="003E1A7A" w:rsidRPr="003E1A7A">
        <w:rPr>
          <w:rFonts w:ascii="Times New Roman" w:hAnsi="Times New Roman" w:cs="Times New Roman"/>
          <w:iCs/>
          <w:noProof/>
        </w:rPr>
        <w:t>(</w:t>
      </w:r>
      <w:r w:rsidR="003E1A7A">
        <w:rPr>
          <w:rFonts w:ascii="Times New Roman" w:hAnsi="Times New Roman" w:cs="Times New Roman"/>
          <w:iCs/>
          <w:noProof/>
        </w:rPr>
        <w:t xml:space="preserve">e.g., </w:t>
      </w:r>
      <w:r w:rsidR="003E1A7A" w:rsidRPr="003E1A7A">
        <w:rPr>
          <w:rFonts w:ascii="Times New Roman" w:hAnsi="Times New Roman" w:cs="Times New Roman"/>
          <w:iCs/>
          <w:noProof/>
        </w:rPr>
        <w:t>Moretti and Ottonello, 2005; O’Neill, 2021; O’Neill and Mavrogenes, 2022)</w:t>
      </w:r>
      <w:r w:rsidR="003E1A7A">
        <w:rPr>
          <w:rFonts w:ascii="Times New Roman" w:hAnsi="Times New Roman" w:cs="Times New Roman"/>
          <w:i/>
          <w:iCs/>
        </w:rPr>
        <w:fldChar w:fldCharType="end"/>
      </w:r>
      <w:r w:rsidRPr="00372AD9">
        <w:rPr>
          <w:rFonts w:ascii="Times New Roman" w:hAnsi="Times New Roman" w:cs="Times New Roman"/>
        </w:rPr>
        <w:t xml:space="preserve">. </w:t>
      </w:r>
      <w:r w:rsidR="00791B3F">
        <w:rPr>
          <w:rFonts w:ascii="Times New Roman" w:hAnsi="Times New Roman" w:cs="Times New Roman"/>
        </w:rPr>
        <w:t>Thus</w:t>
      </w:r>
      <w:r w:rsidRPr="00372AD9">
        <w:rPr>
          <w:rFonts w:ascii="Times New Roman" w:hAnsi="Times New Roman" w:cs="Times New Roman"/>
        </w:rPr>
        <w:t xml:space="preserve">, although </w:t>
      </w:r>
      <w:r w:rsidR="00791B3F">
        <w:rPr>
          <w:rFonts w:ascii="Times New Roman" w:hAnsi="Times New Roman" w:cs="Times New Roman"/>
        </w:rPr>
        <w:t xml:space="preserve">there are potentially </w:t>
      </w:r>
      <w:r w:rsidR="009259DA">
        <w:rPr>
          <w:rFonts w:ascii="Times New Roman" w:hAnsi="Times New Roman" w:cs="Times New Roman"/>
        </w:rPr>
        <w:t>measurable</w:t>
      </w:r>
      <w:r w:rsidR="00791B3F">
        <w:rPr>
          <w:rFonts w:ascii="Times New Roman" w:hAnsi="Times New Roman" w:cs="Times New Roman"/>
        </w:rPr>
        <w:t xml:space="preserve"> effects of </w:t>
      </w:r>
      <w:r w:rsidR="00791B3F" w:rsidRPr="00372AD9">
        <w:rPr>
          <w:rFonts w:ascii="Times New Roman" w:hAnsi="Times New Roman" w:cs="Times New Roman"/>
          <w:i/>
          <w:iCs/>
        </w:rPr>
        <w:t>f</w:t>
      </w:r>
      <w:r w:rsidR="00791B3F" w:rsidRPr="00372AD9">
        <w:rPr>
          <w:rFonts w:ascii="Times New Roman" w:hAnsi="Times New Roman" w:cs="Times New Roman"/>
          <w:vertAlign w:val="subscript"/>
        </w:rPr>
        <w:t>O2</w:t>
      </w:r>
      <w:r w:rsidR="00791B3F">
        <w:rPr>
          <w:rFonts w:ascii="Times New Roman" w:hAnsi="Times New Roman" w:cs="Times New Roman"/>
        </w:rPr>
        <w:t xml:space="preserve"> on volatile solubilities over the </w:t>
      </w:r>
      <w:r w:rsidR="00791B3F" w:rsidRPr="00147AF9">
        <w:rPr>
          <w:rFonts w:ascii="Times New Roman" w:hAnsi="Times New Roman" w:cs="Times New Roman"/>
          <w:i/>
          <w:iCs/>
        </w:rPr>
        <w:t>f</w:t>
      </w:r>
      <w:r w:rsidR="00791B3F" w:rsidRPr="00147AF9">
        <w:rPr>
          <w:rFonts w:ascii="Times New Roman" w:hAnsi="Times New Roman" w:cs="Times New Roman"/>
          <w:vertAlign w:val="subscript"/>
        </w:rPr>
        <w:t>O2</w:t>
      </w:r>
      <w:r w:rsidR="00791B3F">
        <w:rPr>
          <w:rFonts w:ascii="Times New Roman" w:hAnsi="Times New Roman" w:cs="Times New Roman"/>
        </w:rPr>
        <w:t xml:space="preserve"> range observed of commonly occurring magmas</w:t>
      </w:r>
      <w:r w:rsidRPr="00372AD9">
        <w:rPr>
          <w:rFonts w:ascii="Times New Roman" w:hAnsi="Times New Roman" w:cs="Times New Roman"/>
        </w:rPr>
        <w:t xml:space="preserve">, </w:t>
      </w:r>
      <w:r w:rsidR="00791B3F">
        <w:rPr>
          <w:rFonts w:ascii="Times New Roman" w:hAnsi="Times New Roman" w:cs="Times New Roman"/>
        </w:rPr>
        <w:t>they have not been addressed by our calculations</w:t>
      </w:r>
      <w:r w:rsidRPr="00372AD9">
        <w:rPr>
          <w:rFonts w:ascii="Times New Roman" w:hAnsi="Times New Roman" w:cs="Times New Roman"/>
        </w:rPr>
        <w:t xml:space="preserve">. </w:t>
      </w:r>
    </w:p>
    <w:p w14:paraId="2807F078" w14:textId="3BA2FCDB" w:rsidR="00372AD9" w:rsidRPr="00372AD9" w:rsidRDefault="00372AD9" w:rsidP="00653552">
      <w:pPr>
        <w:spacing w:after="245"/>
        <w:ind w:firstLine="720"/>
        <w:jc w:val="both"/>
        <w:rPr>
          <w:rFonts w:ascii="Times New Roman" w:hAnsi="Times New Roman" w:cs="Times New Roman"/>
          <w:vertAlign w:val="superscript"/>
        </w:rPr>
      </w:pPr>
      <w:r w:rsidRPr="00372AD9">
        <w:rPr>
          <w:rFonts w:ascii="Times New Roman" w:hAnsi="Times New Roman" w:cs="Times New Roman"/>
        </w:rPr>
        <w:t>More generally, melt composition significantly influences the speciation and solubility of some volatile components in the melt (e.g., CO</w:t>
      </w:r>
      <w:r w:rsidRPr="00372AD9">
        <w:rPr>
          <w:rFonts w:ascii="Times New Roman" w:hAnsi="Times New Roman" w:cs="Times New Roman"/>
          <w:vertAlign w:val="subscript"/>
        </w:rPr>
        <w:t>3</w:t>
      </w:r>
      <w:r w:rsidRPr="00372AD9">
        <w:rPr>
          <w:rFonts w:ascii="Times New Roman" w:hAnsi="Times New Roman" w:cs="Times New Roman"/>
          <w:vertAlign w:val="superscript"/>
        </w:rPr>
        <w:t>2-</w:t>
      </w:r>
      <w:r w:rsidRPr="00372AD9">
        <w:rPr>
          <w:rFonts w:ascii="Times New Roman" w:hAnsi="Times New Roman" w:cs="Times New Roman"/>
        </w:rPr>
        <w:t>, *S</w:t>
      </w:r>
      <w:r w:rsidRPr="00372AD9">
        <w:rPr>
          <w:rFonts w:ascii="Times New Roman" w:hAnsi="Times New Roman" w:cs="Times New Roman"/>
          <w:vertAlign w:val="superscript"/>
        </w:rPr>
        <w:t>2-</w:t>
      </w:r>
      <w:r w:rsidRPr="00372AD9">
        <w:rPr>
          <w:rFonts w:ascii="Times New Roman" w:hAnsi="Times New Roman" w:cs="Times New Roman"/>
        </w:rPr>
        <w:t>, and SO</w:t>
      </w:r>
      <w:r w:rsidRPr="00372AD9">
        <w:rPr>
          <w:rFonts w:ascii="Times New Roman" w:hAnsi="Times New Roman" w:cs="Times New Roman"/>
          <w:vertAlign w:val="subscript"/>
        </w:rPr>
        <w:t>4</w:t>
      </w:r>
      <w:r w:rsidRPr="00372AD9">
        <w:rPr>
          <w:rFonts w:ascii="Times New Roman" w:hAnsi="Times New Roman" w:cs="Times New Roman"/>
          <w:vertAlign w:val="superscript"/>
        </w:rPr>
        <w:t>2-</w:t>
      </w:r>
      <w:r w:rsidRPr="00372AD9">
        <w:rPr>
          <w:rFonts w:ascii="Times New Roman" w:hAnsi="Times New Roman" w:cs="Times New Roman"/>
        </w:rPr>
        <w:t>;</w:t>
      </w:r>
      <w:r w:rsidR="003E1A7A">
        <w:rPr>
          <w:rFonts w:ascii="Times New Roman" w:hAnsi="Times New Roman" w:cs="Times New Roman"/>
        </w:rPr>
        <w:t xml:space="preserve"> </w:t>
      </w:r>
      <w:r w:rsidR="003E1A7A">
        <w:rPr>
          <w:rFonts w:ascii="Times New Roman" w:hAnsi="Times New Roman" w:cs="Times New Roman"/>
        </w:rPr>
        <w:fldChar w:fldCharType="begin" w:fldLock="1"/>
      </w:r>
      <w:r w:rsidR="00923A61">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Basalts.","type":"chapter"},"uris":["http://www.mendeley.com/documents/?uuid=6f3ae3ca-6ecd-3137-8bfc-f37a8f3fea2a"]},{"id":"ITEM-2","itemData":{"DOI":"10.1016/J.GCA.2022.06.020","ISSN":"0016-7037","author":[{"dropping-particle":"","family":"O'Neill","given":"Hugh St. C.","non-dropping-particle":"","parse-names":false,"suffix":""},{"dropping-particle":"","family":"Mavrogenes","given":"John A.","non-dropping-particle":"","parse-names":false,"suffix":""}],"container-title":"Geochimica et Cosmochimica Acta","id":"ITEM-2","issued":{"date-parts":[["2022","6","27"]]},"publisher":"Pergamon","title":"The sulfate capacities of silicate melts","type":"article-journal"},"uris":["http://www.mendeley.com/documents/?uuid=28383afe-41b6-312f-a795-212a394fed74"]},{"id":"ITEM-3","itemData":{"DOI":"10.1007/S00410-022-01903-Y/FIGURES/10","ISSN":"14320967","abstract":"The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Petrology","id":"ITEM-3","issue":"3","issued":{"date-parts":[["2022","3","1"]]},"page":"1-22","publisher":"Springer Science and Business Media Deutschland GmbH","title":"MafiCH: a general model for H2O–CO2 solubility in mafic magmas","type":"article-journal","volume":"177"},"uris":["http://www.mendeley.com/documents/?uuid=8226be74-5d59-36ea-87c7-c81dfa2b934e"]},{"id":"ITEM-4","itemData":{"DOI":"10.1016/J.CHEMGEO.2014.09.001","ISSN":"0009-2541","abstract":"The effect of the anhydrous composition on the solubilities of H2O and CO2 in mafic melts varying from MORB to nephelinite was investigated experimentally between 50 and 500MPa at 1200 to 1250°C. In all compositions, CO2 is only present as carbonate species in the quenched glasses. The concentrations of dissolved H2O and CO2 have been analyzed by KFT (Karl–Fischer titration) and FTIR (Fourier-transform infrared spectroscopy). The Mid-Infrared (MIR) absorption coefficients for the H2O band at 3500cm−1 are identical within error for all investigated melt compositions and equal to 59.2±4L/(mol</w:instrText>
      </w:r>
      <w:r w:rsidR="00923A61">
        <w:rPr>
          <w:rFonts w:ascii="Cambria Math" w:hAnsi="Cambria Math" w:cs="Cambria Math"/>
        </w:rPr>
        <w:instrText>∗</w:instrText>
      </w:r>
      <w:r w:rsidR="00923A61">
        <w:rPr>
          <w:rFonts w:ascii="Times New Roman" w:hAnsi="Times New Roman" w:cs="Times New Roman"/>
        </w:rPr>
        <w:instrText>cm). The absorption coefficients for the carbonate bands vary in the range 306±32 to 360±24L/(mol</w:instrText>
      </w:r>
      <w:r w:rsidR="00923A61">
        <w:rPr>
          <w:rFonts w:ascii="Cambria Math" w:hAnsi="Cambria Math" w:cs="Cambria Math"/>
        </w:rPr>
        <w:instrText>∗</w:instrText>
      </w:r>
      <w:r w:rsidR="00923A61">
        <w:rPr>
          <w:rFonts w:ascii="Times New Roman" w:hAnsi="Times New Roman" w:cs="Times New Roman"/>
        </w:rPr>
        <w:instrText>cm) for the 1430cm−1 band and in the range 349±25 to 394±27L/(mol</w:instrText>
      </w:r>
      <w:r w:rsidR="00923A61">
        <w:rPr>
          <w:rFonts w:ascii="Cambria Math" w:hAnsi="Cambria Math" w:cs="Cambria Math"/>
        </w:rPr>
        <w:instrText>∗</w:instrText>
      </w:r>
      <w:r w:rsidR="00923A61">
        <w:rPr>
          <w:rFonts w:ascii="Times New Roman" w:hAnsi="Times New Roman" w:cs="Times New Roman"/>
        </w:rPr>
        <w:instrText>cm) for the 1520cm−1 band. However, a simple correlation with the melt composition could not be determined. Water solubility in mafic to intermediate melts increases slightly with the total alkali content and the effect of composition is more pronounced at higher pressures. At 500MPa, the solubility of H2O in melts coexisting with nearly pure H2O fluids varies from 8.8 to 9.5wt.% H2O. A strong effect of melt composition on the solubility of CO2 is observed at all investigated pressures. For instance, at 500MPa, mafic melts coexisting with nearly pure CO2 fluids can dissolve from around 0.32 to more than 1.30wt.% CO2 as melt composition changes from tholeiite to nephelinite. The compositional effect on the solubility of CO2 in melts coexisting with pure CO2 fluid is best described by non-linear (exponential) correlations with compositional parameters such as the parameter Π proposed by Dixon (1997; American Mineralogist, 82: 368–378) or structural parameters (e.g., nonbridging oxygen per tetrahedrally coordinated cation). The obtained relationships are used to propose empirically derived equations of the form ln(CO2)=1.150·lnP+6.71·Π*−1.345, where CO2 is the solubility of CO2 in silicate melts in wt.% (at 1200 to 1250°C), P is pressure in MPa and Π* is a compositional parameter (Π*=Ca2++0.8K++0.7Na++0.4Mg2++0.4Fe2+)/(Si4++Al3+) with cations expressed as cation fractions in melt.","author":[{"dropping-particle":"","family":"Shishkina","given":"Tatiana A.","non-dropping-particle":"","parse-names":false,"suffix":""},{"dropping-particle":"","family":"Botcharnikov","given":"Roman E.","non-dropping-particle":"","parse-names":false,"suffix":""},{"dropping-particle":"","family":"Holtz","given":"Francois","non-dropping-particle":"","parse-names":false,"suffix":""},{"dropping-particle":"","family":"Almeev","given":"R.R.","non-dropping-particle":"","parse-names":false,"suffix":""},{"dropping-particle":"","family":"Jazwa","given":"Aleksandra M.","non-dropping-particle":"","parse-names":false,"suffix":""},{"dropping-particle":"","family":"Jakubiak","given":"Artur A.","non-dropping-particle":"","parse-names":false,"suffix":""}],"container-title":"Chemical Geology","id":"ITEM-4","issued":{"date-parts":[["2014","11","21"]]},"page":"112-129","publisher":"Elsevier","title":"Compositional and pressure effects on the solubility of H2O and CO2 in mafic melts","type":"article-journal","volume":"388"},"uris":["http://www.mendeley.com/documents/?uuid=8086ff59-80db-3e86-80f9-941380b36082"]}],"mendeley":{"formattedCitation":"(Allison et al., 2022; O’Neill, 2021; O’Neill and Mavrogenes, 2022; Shishkina et al., 2014)","manualFormatting":"Allison et al., 2022; O’Neill, 2021; O’Neill and Mavrogenes, 2022; Shishkina et al., 2014)","plainTextFormattedCitation":"(Allison et al., 2022; O’Neill, 2021; O’Neill and Mavrogenes, 2022; Shishkina et al., 2014)","previouslyFormattedCitation":"(Allison et al., 2022; O’Neill, 2021; O’Neill and Mavrogenes, 2022; Shishkina et al., 2014)"},"properties":{"noteIndex":0},"schema":"https://github.com/citation-style-language/schema/raw/master/csl-citation.json"}</w:instrText>
      </w:r>
      <w:r w:rsidR="003E1A7A">
        <w:rPr>
          <w:rFonts w:ascii="Times New Roman" w:hAnsi="Times New Roman" w:cs="Times New Roman"/>
        </w:rPr>
        <w:fldChar w:fldCharType="separate"/>
      </w:r>
      <w:r w:rsidR="003E1A7A" w:rsidRPr="003E1A7A">
        <w:rPr>
          <w:rFonts w:ascii="Times New Roman" w:hAnsi="Times New Roman" w:cs="Times New Roman"/>
          <w:noProof/>
        </w:rPr>
        <w:t>Allison et al., 2022; O’Neill, 2021; O’Neill and Mavrogenes, 2022; Shishkina et al., 2014)</w:t>
      </w:r>
      <w:r w:rsidR="003E1A7A">
        <w:rPr>
          <w:rFonts w:ascii="Times New Roman" w:hAnsi="Times New Roman" w:cs="Times New Roman"/>
        </w:rPr>
        <w:fldChar w:fldCharType="end"/>
      </w:r>
      <w:r w:rsidRPr="00372AD9">
        <w:rPr>
          <w:rFonts w:ascii="Times New Roman" w:hAnsi="Times New Roman" w:cs="Times New Roman"/>
        </w:rPr>
        <w:t>, but less so for others (e.g., H</w:t>
      </w:r>
      <w:r w:rsidRPr="00372AD9">
        <w:rPr>
          <w:rFonts w:ascii="Times New Roman" w:hAnsi="Times New Roman" w:cs="Times New Roman"/>
          <w:vertAlign w:val="subscript"/>
        </w:rPr>
        <w:t>2</w:t>
      </w:r>
      <w:r w:rsidRPr="00372AD9">
        <w:rPr>
          <w:rFonts w:ascii="Times New Roman" w:hAnsi="Times New Roman" w:cs="Times New Roman"/>
        </w:rPr>
        <w:t>O</w:t>
      </w:r>
      <w:r w:rsidRPr="00372AD9">
        <w:rPr>
          <w:rFonts w:ascii="Times New Roman" w:hAnsi="Times New Roman" w:cs="Times New Roman"/>
          <w:vertAlign w:val="subscript"/>
        </w:rPr>
        <w:t>T</w:t>
      </w:r>
      <w:r w:rsidRPr="00372AD9">
        <w:rPr>
          <w:rFonts w:ascii="Times New Roman" w:hAnsi="Times New Roman" w:cs="Times New Roman"/>
        </w:rPr>
        <w:t>;</w:t>
      </w:r>
      <w:r w:rsidR="003E1A7A">
        <w:rPr>
          <w:rFonts w:ascii="Times New Roman" w:hAnsi="Times New Roman" w:cs="Times New Roman"/>
        </w:rPr>
        <w:t xml:space="preserve"> </w:t>
      </w:r>
      <w:r w:rsidR="003E1A7A">
        <w:rPr>
          <w:rFonts w:ascii="Times New Roman" w:hAnsi="Times New Roman" w:cs="Times New Roman"/>
        </w:rPr>
        <w:fldChar w:fldCharType="begin" w:fldLock="1"/>
      </w:r>
      <w:r w:rsidR="00E0491E">
        <w:rPr>
          <w:rFonts w:ascii="Times New Roman" w:hAnsi="Times New Roman" w:cs="Times New Roman"/>
        </w:rPr>
        <w:instrText>ADDIN CSL_CITATION {"citationItems":[{"id":"ITEM-1","itemData":{"DOI":"10.1029/2021EA001932","ISSN":"2333-5084","abstract":"Accurate models of H2O and CO2 solubility in silicate melts are vital for understanding volcanic plumbing systems. These models are used to estimate the depths of magma storage regions from melt inclusion volatile contents, investigate the role of volatile exsolution as a driver of volcanic eruptions, and track the degassing path followed by a magma ascending to the surface. However, despite the large increase in the number of experimental constraints over the last two decades, many recent studies still utilize an earlier generation of models which were calibrated on experimental datasets with restricted compositional ranges. This may be because many of the available tools for more recent models require large numbers of input parameters to be hand-typed (e.g., temperature, concentrations of H2O, CO2, and 8–14 oxides), making them difficult to implement on large datasets. Here, we use a new open-source Python3 tool, VESIcal, to critically evaluate the behaviors and sensitivities of different solubility models for a range of melt compositions. Using literature datasets of andesitic-dacitic experimental products and melt inclusions as case studies, we illustrate the importance of evaluating the calibration dataset of each model. Finally, we highlight the limitations of particular data presentation methods, such as isobar diagrams, and provide suggestions for alternatives, and best practices regarding the presentation and archiving of data. This review will aid the selection of the most applicable solubility model for different melt compositions, and identifies areas where additional experimental constraints on volatile solubility are required.","author":[{"dropping-particle":"","family":"Wieser","given":"P. E.","non-dropping-particle":"","parse-names":false,"suffix":""},{"dropping-particle":"","family":"Iacovino","given":"K.","non-dropping-particle":"","parse-names":false,"suffix":""},{"dropping-particle":"","family":"Matthews","given":"S.","non-dropping-particle":"","parse-names":false,"suffix":""},{"dropping-particle":"","family":"Moore","given":"G.","non-dropping-particle":"","parse-names":false,"suffix":""},{"dropping-particle":"","family":"Allison","given":"Chelsea M.","non-dropping-particle":"","parse-names":false,"suffix":""}],"container-title":"Earth and Space Science","id":"ITEM-1","issue":"2","issued":{"date-parts":[["2022","2","1"]]},"page":"e2021EA001932","publisher":"John Wiley &amp; Sons, Ltd","title":"VESIcal: 2. A Critical Approach to Volatile Solubility Modeling Using an Open-Source Python3 Engine","type":"article-journal","volume":"9"},"uris":["http://www.mendeley.com/documents/?uuid=06bae07b-d82c-35f7-a222-7af88c186174"]},{"id":"ITEM-2","itemData":{"DOI":"10.1007/s00410-015-1141-8","ISSN":"0010-7999","author":[{"dropping-particle":"","family":"Ghiorso","given":"Mark S.","non-dropping-particle":"","parse-names":false,"suffix":""},{"dropping-particle":"","family":"Gualda","given":"G.A.R.","non-dropping-particle":"","parse-names":false,"suffix":""}],"container-title":"Contributions to Mineralogy and Petrology","id":"ITEM-2","issue":"6","issued":{"date-parts":[["2015","6","5"]]},"page":"53","publisher":"Springer Berlin Heidelberg","title":"An H2O–CO2 mixed fluid saturation model compatible with rhyolite-MELTS","type":"article-journal","volume":"169"},"uris":["http://www.mendeley.com/documents/?uuid=4a51f65a-45a5-356c-90a6-eb3e75ed9f66"]}],"mendeley":{"formattedCitation":"(Ghiorso and Gualda, 2015; Wieser et al., 2022)","manualFormatting":"Ghiorso and Gualda, 2015; Wieser et al., 2022)","plainTextFormattedCitation":"(Ghiorso and Gualda, 2015; Wieser et al., 2022)","previouslyFormattedCitation":"(Ghiorso and Gualda, 2015; Wieser et al., 2022)"},"properties":{"noteIndex":0},"schema":"https://github.com/citation-style-language/schema/raw/master/csl-citation.json"}</w:instrText>
      </w:r>
      <w:r w:rsidR="003E1A7A">
        <w:rPr>
          <w:rFonts w:ascii="Times New Roman" w:hAnsi="Times New Roman" w:cs="Times New Roman"/>
        </w:rPr>
        <w:fldChar w:fldCharType="separate"/>
      </w:r>
      <w:r w:rsidR="003E1A7A" w:rsidRPr="003E1A7A">
        <w:rPr>
          <w:rFonts w:ascii="Times New Roman" w:hAnsi="Times New Roman" w:cs="Times New Roman"/>
          <w:noProof/>
        </w:rPr>
        <w:t>Ghiorso and Gualda, 2015; Wieser et al., 2022)</w:t>
      </w:r>
      <w:r w:rsidR="003E1A7A">
        <w:rPr>
          <w:rFonts w:ascii="Times New Roman" w:hAnsi="Times New Roman" w:cs="Times New Roman"/>
        </w:rPr>
        <w:fldChar w:fldCharType="end"/>
      </w:r>
      <w:r w:rsidRPr="00372AD9">
        <w:rPr>
          <w:rFonts w:ascii="Times New Roman" w:hAnsi="Times New Roman" w:cs="Times New Roman"/>
        </w:rPr>
        <w:t xml:space="preserve">. Characterization of such variations on solubility functions is an active area of research. </w:t>
      </w:r>
      <w:r w:rsidR="00791B3F">
        <w:rPr>
          <w:rFonts w:ascii="Times New Roman" w:hAnsi="Times New Roman" w:cs="Times New Roman"/>
        </w:rPr>
        <w:t xml:space="preserve">New results </w:t>
      </w:r>
      <w:r w:rsidRPr="00372AD9">
        <w:rPr>
          <w:rFonts w:ascii="Times New Roman" w:hAnsi="Times New Roman" w:cs="Times New Roman"/>
        </w:rPr>
        <w:t>can be incorporated into our treatment</w:t>
      </w:r>
      <w:r w:rsidR="00791B3F">
        <w:rPr>
          <w:rFonts w:ascii="Times New Roman" w:hAnsi="Times New Roman" w:cs="Times New Roman"/>
        </w:rPr>
        <w:t xml:space="preserve"> as they become available,</w:t>
      </w:r>
      <w:r w:rsidRPr="00372AD9">
        <w:rPr>
          <w:rFonts w:ascii="Times New Roman" w:hAnsi="Times New Roman" w:cs="Times New Roman"/>
        </w:rPr>
        <w:t xml:space="preserve"> through the compositional dependence of the </w:t>
      </w:r>
      <w:r w:rsidR="00791B3F">
        <w:rPr>
          <w:rFonts w:ascii="Times New Roman" w:hAnsi="Times New Roman" w:cs="Times New Roman"/>
        </w:rPr>
        <w:t>solubility functions</w:t>
      </w:r>
      <w:r w:rsidR="00791B3F" w:rsidRPr="00372AD9">
        <w:rPr>
          <w:rFonts w:ascii="Times New Roman" w:hAnsi="Times New Roman" w:cs="Times New Roman"/>
        </w:rPr>
        <w:t xml:space="preserve"> </w:t>
      </w:r>
      <w:r w:rsidR="00896FE2">
        <w:rPr>
          <w:rFonts w:ascii="Times New Roman" w:hAnsi="Times New Roman" w:cs="Times New Roman"/>
        </w:rPr>
        <w:t xml:space="preserve">and </w:t>
      </w:r>
      <w:r w:rsidRPr="00372AD9">
        <w:rPr>
          <w:rFonts w:ascii="Times New Roman" w:hAnsi="Times New Roman" w:cs="Times New Roman"/>
        </w:rPr>
        <w:t>by adding additional heterogeneous melt-vapor equilibria where required (e.g., CO</w:t>
      </w:r>
      <w:r w:rsidRPr="00372AD9">
        <w:rPr>
          <w:rFonts w:ascii="Times New Roman" w:hAnsi="Times New Roman" w:cs="Times New Roman"/>
          <w:vertAlign w:val="subscript"/>
        </w:rPr>
        <w:t>2,mol</w:t>
      </w:r>
      <w:r w:rsidRPr="00372AD9">
        <w:rPr>
          <w:rFonts w:ascii="Times New Roman" w:hAnsi="Times New Roman" w:cs="Times New Roman"/>
        </w:rPr>
        <w:t xml:space="preserve"> for rhyolites;</w:t>
      </w:r>
      <w:r w:rsidR="003E1A7A">
        <w:rPr>
          <w:rFonts w:ascii="Times New Roman" w:hAnsi="Times New Roman" w:cs="Times New Roman"/>
        </w:rPr>
        <w:t xml:space="preserve"> </w:t>
      </w:r>
      <w:r w:rsidR="003E1A7A">
        <w:rPr>
          <w:rFonts w:ascii="Times New Roman" w:hAnsi="Times New Roman" w:cs="Times New Roman"/>
        </w:rPr>
        <w:fldChar w:fldCharType="begin" w:fldLock="1"/>
      </w:r>
      <w:r w:rsidR="003E1A7A">
        <w:rPr>
          <w:rFonts w:ascii="Times New Roman" w:hAnsi="Times New Roman" w:cs="Times New Roman"/>
        </w:rPr>
        <w:instrText>ADDIN CSL_CITATION {"citationItems":[{"id":"ITEM-1","itemData":{"DOI":"10.1016/0012-821X(93)90004-S","ISSN":"0012821X","abstract":"Concentrations of carbon dioxide and water dissolved in glasses quenched from rhyolitic melts equilibrated with H2OCO2 fluids at 850°C and 750 bar were measured using infrared spectroscopy; concentrations of H2O and CO2 in the quenched fluids were measured manometrically. The mole fraction of CO2 in the quenched fluid ranged from 0.06 to 0.91. Concentrations of CO2 in the coexisting rhyolitic melt increased from 23(±6) ppm for the sample equilibrated with the most CO2-poor fluid to 515(±16) ppm for that equilibrated with the most CO2-rich fluid. The water content of the melt varied from 0.51(±0.06) to 3.34(±0.08) wt%. Our results show that concentrations of molecular CO2 and H2O in the glasses obey Henry's Law; i.e., the mole fractions of molecular CO2 and molecular H2O in the quenched melts are proportional to their fugacities in the coexisting vapor. CO2 contents of vapor-saturated melts are not enhanced by addition of water to CO2-rich vapor, contrary to previous reports for silicate melts at higher pressures. The Henrian behavior of CO2 and H2O at low pressure considerably simplifies modeling of the degassing of silicic magmas. © 1993.","author":[{"dropping-particle":"","family":"Blank","given":"J. G.","non-dropping-particle":"","parse-names":false,"suffix":""},{"dropping-particle":"","family":"Stolper","given":"Edward M.","non-dropping-particle":"","parse-names":false,"suffix":""},{"dropping-particle":"","family":"Carroll","given":"M. R.","non-dropping-particle":"","parse-names":false,"suffix":""}],"container-title":"Earth and Planetary Science Letters","id":"ITEM-1","issue":"1-2","issued":{"date-parts":[["1993","8","1"]]},"page":"27-36","publisher":"Elsevier","title":"Solubilities of carbon dioxide and water in rhyolitic melt at 850°C and 750 bars","type":"article-journal","volume":"119"},"uris":["http://www.mendeley.com/documents/?uuid=de062b80-3b0f-3519-9580-a70f60d20275"]}],"mendeley":{"formattedCitation":"(Blank et al., 1993)","manualFormatting":"Blank et al., 1993)","plainTextFormattedCitation":"(Blank et al., 1993)","previouslyFormattedCitation":"(Blank et al., 1993)"},"properties":{"noteIndex":0},"schema":"https://github.com/citation-style-language/schema/raw/master/csl-citation.json"}</w:instrText>
      </w:r>
      <w:r w:rsidR="003E1A7A">
        <w:rPr>
          <w:rFonts w:ascii="Times New Roman" w:hAnsi="Times New Roman" w:cs="Times New Roman"/>
        </w:rPr>
        <w:fldChar w:fldCharType="separate"/>
      </w:r>
      <w:r w:rsidR="003E1A7A" w:rsidRPr="003E1A7A">
        <w:rPr>
          <w:rFonts w:ascii="Times New Roman" w:hAnsi="Times New Roman" w:cs="Times New Roman"/>
          <w:noProof/>
        </w:rPr>
        <w:t>Blank et al., 1993)</w:t>
      </w:r>
      <w:r w:rsidR="003E1A7A">
        <w:rPr>
          <w:rFonts w:ascii="Times New Roman" w:hAnsi="Times New Roman" w:cs="Times New Roman"/>
        </w:rPr>
        <w:fldChar w:fldCharType="end"/>
      </w:r>
      <w:r w:rsidRPr="00372AD9">
        <w:rPr>
          <w:rFonts w:ascii="Times New Roman" w:hAnsi="Times New Roman" w:cs="Times New Roman"/>
        </w:rPr>
        <w:t xml:space="preserve">. </w:t>
      </w:r>
      <w:r w:rsidR="00791B3F">
        <w:rPr>
          <w:rFonts w:ascii="Times New Roman" w:hAnsi="Times New Roman" w:cs="Times New Roman"/>
        </w:rPr>
        <w:t>Similarly</w:t>
      </w:r>
      <w:r w:rsidRPr="00372AD9">
        <w:rPr>
          <w:rFonts w:ascii="Times New Roman" w:hAnsi="Times New Roman" w:cs="Times New Roman"/>
        </w:rPr>
        <w:t>, more experimental work needs to be done to model accurately the compositional dependence of the solubilities of H</w:t>
      </w:r>
      <w:r w:rsidRPr="00372AD9">
        <w:rPr>
          <w:rFonts w:ascii="Times New Roman" w:hAnsi="Times New Roman" w:cs="Times New Roman"/>
          <w:vertAlign w:val="subscript"/>
        </w:rPr>
        <w:t>2</w:t>
      </w:r>
      <w:r w:rsidRPr="00372AD9">
        <w:rPr>
          <w:rFonts w:ascii="Times New Roman" w:hAnsi="Times New Roman" w:cs="Times New Roman"/>
        </w:rPr>
        <w:t>, CO, CH</w:t>
      </w:r>
      <w:r w:rsidRPr="00372AD9">
        <w:rPr>
          <w:rFonts w:ascii="Times New Roman" w:hAnsi="Times New Roman" w:cs="Times New Roman"/>
          <w:vertAlign w:val="subscript"/>
        </w:rPr>
        <w:t>4</w:t>
      </w:r>
      <w:r w:rsidRPr="00372AD9">
        <w:rPr>
          <w:rFonts w:ascii="Times New Roman" w:hAnsi="Times New Roman" w:cs="Times New Roman"/>
        </w:rPr>
        <w:t>, and H</w:t>
      </w:r>
      <w:r w:rsidRPr="00372AD9">
        <w:rPr>
          <w:rFonts w:ascii="Times New Roman" w:hAnsi="Times New Roman" w:cs="Times New Roman"/>
          <w:vertAlign w:val="subscript"/>
        </w:rPr>
        <w:t>2</w:t>
      </w:r>
      <w:r w:rsidRPr="00372AD9">
        <w:rPr>
          <w:rFonts w:ascii="Times New Roman" w:hAnsi="Times New Roman" w:cs="Times New Roman"/>
        </w:rPr>
        <w:t xml:space="preserve">S, which </w:t>
      </w:r>
      <w:r w:rsidR="00791B3F">
        <w:rPr>
          <w:rFonts w:ascii="Times New Roman" w:hAnsi="Times New Roman" w:cs="Times New Roman"/>
        </w:rPr>
        <w:t>is particularly</w:t>
      </w:r>
      <w:r w:rsidRPr="00372AD9">
        <w:rPr>
          <w:rFonts w:ascii="Times New Roman" w:hAnsi="Times New Roman" w:cs="Times New Roman"/>
        </w:rPr>
        <w:t xml:space="preserve"> important to model accurately the behaviour of volatiles in lunar and </w:t>
      </w:r>
      <w:proofErr w:type="spellStart"/>
      <w:r w:rsidRPr="00372AD9">
        <w:rPr>
          <w:rFonts w:ascii="Times New Roman" w:hAnsi="Times New Roman" w:cs="Times New Roman"/>
        </w:rPr>
        <w:t>martian</w:t>
      </w:r>
      <w:proofErr w:type="spellEnd"/>
      <w:r w:rsidRPr="00372AD9">
        <w:rPr>
          <w:rFonts w:ascii="Times New Roman" w:hAnsi="Times New Roman" w:cs="Times New Roman"/>
        </w:rPr>
        <w:t xml:space="preserve"> magmas</w:t>
      </w:r>
      <w:r w:rsidR="003E1A7A">
        <w:rPr>
          <w:rFonts w:ascii="Times New Roman" w:hAnsi="Times New Roman" w:cs="Times New Roman"/>
        </w:rPr>
        <w:t xml:space="preserve"> </w:t>
      </w:r>
      <w:r w:rsidR="003E1A7A">
        <w:rPr>
          <w:rFonts w:ascii="Times New Roman" w:hAnsi="Times New Roman" w:cs="Times New Roman"/>
        </w:rPr>
        <w:fldChar w:fldCharType="begin" w:fldLock="1"/>
      </w:r>
      <w:r w:rsidR="003E1A7A">
        <w:rPr>
          <w:rFonts w:ascii="Times New Roman" w:hAnsi="Times New Roman" w:cs="Times New Roman"/>
        </w:rPr>
        <w:instrText>ADDIN CSL_CITATION {"citationItems":[{"id":"ITEM-1","itemData":{"DOI":"10.1073/PNAS.1219266110","ISSN":"00278424","abstract":"Degassing of planetary interiors through surface volcanism plays an important role in the evolution of planetary bodies and atmospheres. On Earth, carbon dioxide and water are the primary volatile species in magmas. However, little is known about the speciation and degassing of carbon in magmas formed on other planets (i.e., Moon, Mars, Mercury), where the mantle oxidation state [oxygen fugacity (fO2)] is different from that of the Earth. Using experiments on a lunar basalt composition, we confirm that carbon dissolves as carbonate at an fO2 higher than -0.55 relative to the iron wustite oxygen buffer (IW-0.55), whereas at a lower fO2, we discover that carbon is present mainly as iron pentacarbonyl and in smaller amounts as methane in the melt. The transition of carbon speciation in mantle-derived melts at fO2 less than IW-0.55 is associated with a decrease in carbon solubility by a factor of 2. Thus, the fO2 controls carbon speciation and solubility in mantle-derived melts even more than previous data indicate, and the degassing of reduced carbon from Fe-rich basalts on planetary bodies would produce methane-bearing, CO-rich early atmospheres with a strong greenhouse potential.","author":[{"dropping-particle":"","family":"Wetzel","given":"Diane T.","non-dropping-particle":"","parse-names":false,"suffix":""},{"dropping-particle":"","family":"Rutherford","given":"Malcolm J.","non-dropping-particle":"","parse-names":false,"suffix":""},{"dropping-particle":"","family":"Jacobsen","given":"Steven D.","non-dropping-particle":"","parse-names":false,"suffix":""},{"dropping-particle":"","family":"Hauri","given":"Erik H.","non-dropping-particle":"","parse-names":false,"suffix":""},{"dropping-particle":"","family":"Saal","given":"Alberto E.","non-dropping-particle":"","parse-names":false,"suffix":""}],"container-title":"Proceedings of the National Academy of Sciences","id":"ITEM-1","issue":"20","issued":{"date-parts":[["2013","5","14"]]},"page":"8010-8013","publisher":"Proceedings of the National Academy of Sciences","title":"Degassing of reduced carbon from planetary basalts","type":"article-journal","volume":"110"},"uris":["http://www.mendeley.com/documents/?uuid=b657d41a-4628-3245-978b-75872b92a032"]},{"id":"ITEM-2","itemData":{"DOI":"10.1029/2021JE006939","ISSN":"2169-9100","abstract":"The Moon is not volcanically active at present, therefore, we rely on data from lunar samples, remote sensing, and numerical modeling to understand past lunar volcanism. The role of different volatile species in propelling lunar magma ascent and eruption remains unclear. We adapt a terrestrial magma ascent model for lunar magma ascent, considering different compositions of picritic magmas and various abundances of H2, H2O, and CO (measured and estimated) for these magmas. We also conduct a sensitivity analysis to investigate the relationship between selected input parameters (pre-eruptive pressure, temperature, conduit radius, and volatile content) and given outputs (exit gas volume fraction, velocity, pressure, and mass eruption rate). We find that, for the model simulations containing H2O and CO, CO was more significant than H2O in driving lunar magma ascent, for the range of volatile contents considered here. For the simulations containing H2 and CO, H2 had a similar or slightly greater control than CO on magma ascent dynamics. Our results showed that initial H2 and CO content has a strong control on exit velocity and pressure, two factors that strongly influence the formation of an eruption plume, pyroclast ejection, and overall deposit morphology. Our results highlight the importance of (a) quantifying and determining the origin of CO, and (b) understanding the abundance of different H-species present within the lunar mantle. Quantifying the role of volatiles in driving lunar volcanism provides an important link between the interior volatile content of the Moon and the formation of volcanic deposits on the lunar surface.","author":[{"dropping-particle":"","family":"Lo","given":"M.","non-dropping-particle":"","parse-names":false,"suffix":""},{"dropping-particle":"","family":"Spina","given":"G.","non-dropping-particle":"La","parse-names":false,"suffix":""},{"dropping-particle":"","family":"Joy","given":"K. H.","non-dropping-particle":"","parse-names":false,"suffix":""},{"dropping-particle":"","family":"Polacci","given":"M.","non-dropping-particle":"","parse-names":false,"suffix":""},{"dropping-particle":"","family":"Burton","given":"M.","non-dropping-particle":"","parse-names":false,"suffix":""}],"container-title":"Journal of Geophysical Research: Planets","id":"ITEM-2","issue":"11","issued":{"date-parts":[["2021","11","1"]]},"page":"e2021JE006939","publisher":"John Wiley &amp; Sons, Ltd","title":"Determining the Effect of Varying Magmatic Volatile Content on Lunar Magma Ascent Dynamics","type":"article-journal","volume":"126"},"uris":["http://www.mendeley.com/documents/?uuid=2f82c35c-06a4-39b5-b3f2-0a641b8cdc67"]}],"mendeley":{"formattedCitation":"(Lo et al., 2021; Wetzel et al., 2013)","manualFormatting":"(e.g., Lo et al., 2021; Wetzel et al., 2013)","plainTextFormattedCitation":"(Lo et al., 2021; Wetzel et al., 2013)","previouslyFormattedCitation":"(Lo et al., 2021; Wetzel et al., 2013)"},"properties":{"noteIndex":0},"schema":"https://github.com/citation-style-language/schema/raw/master/csl-citation.json"}</w:instrText>
      </w:r>
      <w:r w:rsidR="003E1A7A">
        <w:rPr>
          <w:rFonts w:ascii="Times New Roman" w:hAnsi="Times New Roman" w:cs="Times New Roman"/>
        </w:rPr>
        <w:fldChar w:fldCharType="separate"/>
      </w:r>
      <w:r w:rsidR="003E1A7A" w:rsidRPr="003E1A7A">
        <w:rPr>
          <w:rFonts w:ascii="Times New Roman" w:hAnsi="Times New Roman" w:cs="Times New Roman"/>
          <w:noProof/>
        </w:rPr>
        <w:t>(</w:t>
      </w:r>
      <w:r w:rsidR="003E1A7A">
        <w:rPr>
          <w:rFonts w:ascii="Times New Roman" w:hAnsi="Times New Roman" w:cs="Times New Roman"/>
          <w:noProof/>
        </w:rPr>
        <w:t xml:space="preserve">e.g., </w:t>
      </w:r>
      <w:r w:rsidR="003E1A7A" w:rsidRPr="003E1A7A">
        <w:rPr>
          <w:rFonts w:ascii="Times New Roman" w:hAnsi="Times New Roman" w:cs="Times New Roman"/>
          <w:noProof/>
        </w:rPr>
        <w:t>Lo et al., 2021; Wetzel et al., 2013)</w:t>
      </w:r>
      <w:r w:rsidR="003E1A7A">
        <w:rPr>
          <w:rFonts w:ascii="Times New Roman" w:hAnsi="Times New Roman" w:cs="Times New Roman"/>
        </w:rPr>
        <w:fldChar w:fldCharType="end"/>
      </w:r>
      <w:r w:rsidRPr="00372AD9">
        <w:rPr>
          <w:rFonts w:ascii="Times New Roman" w:hAnsi="Times New Roman" w:cs="Times New Roman"/>
        </w:rPr>
        <w:t xml:space="preserve">. This leads to potentially significant inaccuracy in calculations of absolute values of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In particular,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calculations are very sensitive to the solubility of CO</w:t>
      </w:r>
      <w:r w:rsidRPr="00372AD9">
        <w:rPr>
          <w:rFonts w:ascii="Times New Roman" w:hAnsi="Times New Roman" w:cs="Times New Roman"/>
          <w:vertAlign w:val="subscript"/>
        </w:rPr>
        <w:t>2</w:t>
      </w:r>
      <w:r w:rsidRPr="00372AD9">
        <w:rPr>
          <w:rFonts w:ascii="Times New Roman" w:hAnsi="Times New Roman" w:cs="Times New Roman"/>
        </w:rPr>
        <w:t xml:space="preserve"> in the melt (i.e., </w:t>
      </w:r>
      <w:r w:rsidRPr="00372AD9">
        <w:rPr>
          <w:rFonts w:ascii="Times New Roman" w:hAnsi="Times New Roman" w:cs="Times New Roman"/>
          <w:i/>
          <w:iCs/>
        </w:rPr>
        <w:t>C</w:t>
      </w:r>
      <w:r w:rsidRPr="00372AD9">
        <w:rPr>
          <w:rFonts w:ascii="Times New Roman" w:hAnsi="Times New Roman" w:cs="Times New Roman"/>
          <w:vertAlign w:val="subscript"/>
        </w:rPr>
        <w:t>CO32-</w:t>
      </w:r>
      <w:r w:rsidRPr="00372AD9">
        <w:rPr>
          <w:rFonts w:ascii="Times New Roman" w:hAnsi="Times New Roman" w:cs="Times New Roman"/>
        </w:rPr>
        <w:t xml:space="preserve">), which both is strongly dependent on melt composition </w:t>
      </w:r>
      <w:r w:rsidR="003E1A7A">
        <w:rPr>
          <w:rFonts w:ascii="Times New Roman" w:hAnsi="Times New Roman" w:cs="Times New Roman"/>
        </w:rPr>
        <w:fldChar w:fldCharType="begin" w:fldLock="1"/>
      </w:r>
      <w:r w:rsidR="00E0491E">
        <w:rPr>
          <w:rFonts w:ascii="Times New Roman" w:hAnsi="Times New Roman" w:cs="Times New Roman"/>
        </w:rPr>
        <w:instrText>ADDIN CSL_CITATION {"citationItems":[{"id":"ITEM-1","itemData":{"DOI":"10.1029/2021EA001932","ISSN":"2333-5084","abstract":"Accurate models of H2O and CO2 solubility in silicate melts are vital for understanding volcanic plumbing systems. These models are used to estimate the depths of magma storage regions from melt inclusion volatile contents, investigate the role of volatile exsolution as a driver of volcanic eruptions, and track the degassing path followed by a magma ascending to the surface. However, despite the large increase in the number of experimental constraints over the last two decades, many recent studies still utilize an earlier generation of models which were calibrated on experimental datasets with restricted compositional ranges. This may be because many of the available tools for more recent models require large numbers of input parameters to be hand-typed (e.g., temperature, concentrations of H2O, CO2, and 8–14 oxides), making them difficult to implement on large datasets. Here, we use a new open-source Python3 tool, VESIcal, to critically evaluate the behaviors and sensitivities of different solubility models for a range of melt compositions. Using literature datasets of andesitic-dacitic experimental products and melt inclusions as case studies, we illustrate the importance of evaluating the calibration dataset of each model. Finally, we highlight the limitations of particular data presentation methods, such as isobar diagrams, and provide suggestions for alternatives, and best practices regarding the presentation and archiving of data. This review will aid the selection of the most applicable solubility model for different melt compositions, and identifies areas where additional experimental constraints on volatile solubility are required.","author":[{"dropping-particle":"","family":"Wieser","given":"P. E.","non-dropping-particle":"","parse-names":false,"suffix":""},{"dropping-particle":"","family":"Iacovino","given":"K.","non-dropping-particle":"","parse-names":false,"suffix":""},{"dropping-particle":"","family":"Matthews","given":"S.","non-dropping-particle":"","parse-names":false,"suffix":""},{"dropping-particle":"","family":"Moore","given":"G.","non-dropping-particle":"","parse-names":false,"suffix":""},{"dropping-particle":"","family":"Allison","given":"Chelsea M.","non-dropping-particle":"","parse-names":false,"suffix":""}],"container-title":"Earth and Space Science","id":"ITEM-1","issue":"2","issued":{"date-parts":[["2022","2","1"]]},"page":"e2021EA001932","publisher":"John Wiley &amp; Sons, Ltd","title":"VESIcal: 2. A Critical Approach to Volatile Solubility Modeling Using an Open-Source Python3 Engine","type":"article-journal","volume":"9"},"uris":["http://www.mendeley.com/documents/?uuid=06bae07b-d82c-35f7-a222-7af88c186174"]},{"id":"ITEM-2","itemData":{"DOI":"10.1007/S00410-022-01903-Y/FIGURES/10","ISSN":"14320967","abstract":"The solubility of CO2 in mafic magmas is strongly dependent on magma composition, which ultimately affects magma storage conditions and eruptive behavior. Recent experimental work showed that previously published volatile solubility models for mafic magmas are not well calibrated at mid-crustal pressures (400–600 MPa). Using a simple thermodynamic model, here we construct a general CO2 solubility model for mafic magmas by establishing the compositional dependence of two key thermodynamic parameters. The model is calibrated using experimental data from 10 magma compositions that span a range of pressures as well as silica (44–53 wt.%) and total alkali (2–9 wt.%) contents. We also survey the experimental literature for relevant H2O solubility data to determine how to model H2O solubility for these magmas. We combine these separate CO2 and H2O solubility models into a single general model for mixed-fluid (H2O–CO2) solubility in mafic magmas called MafiCH. We test the MafiCH model using experiments from three compositions that fall both within and beyond the calibrated range, and find that the model accurately constrains the CO2 solubility of depolymerized magmas. Sensitivity tests identify that Na, Ca, and Al have the largest effect on CO2 solubility while Si and Mg do not play a strong role in CO2 solubility in mafic, depolymerized melts. Overall, saturation pressures calculated using the new model presented here are typically lower than those predicted by previous models. The model provides a new framework to interpret volcanic data from mafic magma compositions for which no experimental data is available.","author":[{"dropping-particle":"","family":"Allison","given":"Chelsea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Petrology","id":"ITEM-2","issue":"3","issued":{"date-parts":[["2022","3","1"]]},"page":"1-22","publisher":"Springer Science and Business Media Deutschland GmbH","title":"MafiCH: a general model for H2O–CO2 solubility in mafic magmas","type":"article-journal","volume":"177"},"uris":["http://www.mendeley.com/documents/?uuid=8226be74-5d59-36ea-87c7-c81dfa2b934e"]}],"mendeley":{"formattedCitation":"(Allison et al., 2022; Wieser et al., 2022)","manualFormatting":"(e.g., Allison et al., 2022; Wieser et al., 2022)","plainTextFormattedCitation":"(Allison et al., 2022; Wieser et al., 2022)","previouslyFormattedCitation":"(Allison et al., 2022; Wieser et al., 2022)"},"properties":{"noteIndex":0},"schema":"https://github.com/citation-style-language/schema/raw/master/csl-citation.json"}</w:instrText>
      </w:r>
      <w:r w:rsidR="003E1A7A">
        <w:rPr>
          <w:rFonts w:ascii="Times New Roman" w:hAnsi="Times New Roman" w:cs="Times New Roman"/>
        </w:rPr>
        <w:fldChar w:fldCharType="separate"/>
      </w:r>
      <w:r w:rsidR="003E1A7A" w:rsidRPr="003E1A7A">
        <w:rPr>
          <w:rFonts w:ascii="Times New Roman" w:hAnsi="Times New Roman" w:cs="Times New Roman"/>
          <w:noProof/>
        </w:rPr>
        <w:t>(</w:t>
      </w:r>
      <w:r w:rsidR="003E1A7A">
        <w:rPr>
          <w:rFonts w:ascii="Times New Roman" w:hAnsi="Times New Roman" w:cs="Times New Roman"/>
          <w:noProof/>
        </w:rPr>
        <w:t xml:space="preserve">e.g., </w:t>
      </w:r>
      <w:r w:rsidR="003E1A7A" w:rsidRPr="003E1A7A">
        <w:rPr>
          <w:rFonts w:ascii="Times New Roman" w:hAnsi="Times New Roman" w:cs="Times New Roman"/>
          <w:noProof/>
        </w:rPr>
        <w:t>Allison et al., 2022; Wieser et al., 2022)</w:t>
      </w:r>
      <w:r w:rsidR="003E1A7A">
        <w:rPr>
          <w:rFonts w:ascii="Times New Roman" w:hAnsi="Times New Roman" w:cs="Times New Roman"/>
        </w:rPr>
        <w:fldChar w:fldCharType="end"/>
      </w:r>
      <w:r w:rsidRPr="00372AD9">
        <w:rPr>
          <w:rFonts w:ascii="Times New Roman" w:hAnsi="Times New Roman" w:cs="Times New Roman"/>
        </w:rPr>
        <w:t xml:space="preserve"> and has an outsized effect on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calculations because of its low solubility.</w:t>
      </w:r>
    </w:p>
    <w:p w14:paraId="08D09F4D" w14:textId="7AC7A715" w:rsidR="00AC4246" w:rsidRDefault="00791B3F" w:rsidP="00AC4246">
      <w:pPr>
        <w:ind w:firstLine="720"/>
        <w:jc w:val="both"/>
        <w:rPr>
          <w:rFonts w:ascii="Times New Roman" w:hAnsi="Times New Roman" w:cs="Times New Roman"/>
        </w:rPr>
      </w:pPr>
      <w:r>
        <w:rPr>
          <w:rFonts w:ascii="Times New Roman" w:hAnsi="Times New Roman" w:cs="Times New Roman"/>
        </w:rPr>
        <w:t>Some of</w:t>
      </w:r>
      <w:r w:rsidR="009259DA">
        <w:rPr>
          <w:rFonts w:ascii="Times New Roman" w:hAnsi="Times New Roman" w:cs="Times New Roman"/>
        </w:rPr>
        <w:t xml:space="preserve"> </w:t>
      </w:r>
      <w:r w:rsidR="00B25E21">
        <w:rPr>
          <w:rFonts w:ascii="Times New Roman" w:hAnsi="Times New Roman" w:cs="Times New Roman"/>
        </w:rPr>
        <w:t>t</w:t>
      </w:r>
      <w:r w:rsidR="00B25E21" w:rsidRPr="00372AD9">
        <w:rPr>
          <w:rFonts w:ascii="Times New Roman" w:hAnsi="Times New Roman" w:cs="Times New Roman"/>
        </w:rPr>
        <w:t xml:space="preserve">he </w:t>
      </w:r>
      <w:r w:rsidR="00372AD9" w:rsidRPr="00372AD9">
        <w:rPr>
          <w:rFonts w:ascii="Times New Roman" w:hAnsi="Times New Roman" w:cs="Times New Roman"/>
        </w:rPr>
        <w:t>details</w:t>
      </w:r>
      <w:r>
        <w:rPr>
          <w:rFonts w:ascii="Times New Roman" w:hAnsi="Times New Roman" w:cs="Times New Roman"/>
        </w:rPr>
        <w:t xml:space="preserve"> of the trends in </w:t>
      </w:r>
      <w:r w:rsidRPr="00372AD9">
        <w:rPr>
          <w:rFonts w:ascii="Times New Roman" w:hAnsi="Times New Roman" w:cs="Times New Roman"/>
          <w:i/>
          <w:iCs/>
        </w:rPr>
        <w:t>f</w:t>
      </w:r>
      <w:r w:rsidRPr="00372AD9">
        <w:rPr>
          <w:rFonts w:ascii="Times New Roman" w:hAnsi="Times New Roman" w:cs="Times New Roman"/>
          <w:vertAlign w:val="subscript"/>
        </w:rPr>
        <w:t>O2</w:t>
      </w:r>
      <w:r w:rsidR="00372AD9" w:rsidRPr="00372AD9">
        <w:rPr>
          <w:rFonts w:ascii="Times New Roman" w:hAnsi="Times New Roman" w:cs="Times New Roman"/>
        </w:rPr>
        <w:t xml:space="preserve"> </w:t>
      </w:r>
      <w:r>
        <w:rPr>
          <w:rFonts w:ascii="Times New Roman" w:hAnsi="Times New Roman" w:cs="Times New Roman"/>
        </w:rPr>
        <w:t>that we present in the main test may</w:t>
      </w:r>
      <w:r w:rsidRPr="00372AD9">
        <w:rPr>
          <w:rFonts w:ascii="Times New Roman" w:hAnsi="Times New Roman" w:cs="Times New Roman"/>
        </w:rPr>
        <w:t xml:space="preserve"> </w:t>
      </w:r>
      <w:r w:rsidR="00372AD9" w:rsidRPr="00372AD9">
        <w:rPr>
          <w:rFonts w:ascii="Times New Roman" w:hAnsi="Times New Roman" w:cs="Times New Roman"/>
        </w:rPr>
        <w:t>vary</w:t>
      </w:r>
      <w:r>
        <w:rPr>
          <w:rFonts w:ascii="Times New Roman" w:hAnsi="Times New Roman" w:cs="Times New Roman"/>
        </w:rPr>
        <w:t xml:space="preserve"> – perhaps strongly –</w:t>
      </w:r>
      <w:r w:rsidR="00F4448F">
        <w:rPr>
          <w:rFonts w:ascii="Times New Roman" w:hAnsi="Times New Roman" w:cs="Times New Roman"/>
        </w:rPr>
        <w:t xml:space="preserve"> </w:t>
      </w:r>
      <w:r w:rsidR="00372AD9" w:rsidRPr="00372AD9">
        <w:rPr>
          <w:rFonts w:ascii="Times New Roman" w:hAnsi="Times New Roman" w:cs="Times New Roman"/>
        </w:rPr>
        <w:t xml:space="preserve">with </w:t>
      </w:r>
      <w:r w:rsidR="00372AD9" w:rsidRPr="00372AD9">
        <w:rPr>
          <w:rFonts w:ascii="Times New Roman" w:hAnsi="Times New Roman" w:cs="Times New Roman"/>
          <w:i/>
          <w:iCs/>
        </w:rPr>
        <w:t>T</w:t>
      </w:r>
      <w:r w:rsidR="00372AD9" w:rsidRPr="00372AD9">
        <w:rPr>
          <w:rFonts w:ascii="Times New Roman" w:hAnsi="Times New Roman" w:cs="Times New Roman"/>
        </w:rPr>
        <w:t xml:space="preserve"> and the volatile-free melt composition due to their effects on speciation and solubility.</w:t>
      </w:r>
      <w:r>
        <w:rPr>
          <w:rFonts w:ascii="Times New Roman" w:hAnsi="Times New Roman" w:cs="Times New Roman"/>
        </w:rPr>
        <w:t xml:space="preserve"> This applies </w:t>
      </w:r>
      <w:r w:rsidR="009259DA">
        <w:rPr>
          <w:rFonts w:ascii="Times New Roman" w:hAnsi="Times New Roman" w:cs="Times New Roman"/>
        </w:rPr>
        <w:t>particularly</w:t>
      </w:r>
      <w:r>
        <w:rPr>
          <w:rFonts w:ascii="Times New Roman" w:hAnsi="Times New Roman" w:cs="Times New Roman"/>
        </w:rPr>
        <w:t xml:space="preserve"> to the position and magnitude of the </w:t>
      </w:r>
      <w:proofErr w:type="spellStart"/>
      <w:r>
        <w:rPr>
          <w:rFonts w:ascii="Times New Roman" w:hAnsi="Times New Roman" w:cs="Times New Roman"/>
        </w:rPr>
        <w:t>SS</w:t>
      </w:r>
      <w:r w:rsidRPr="00791B3F">
        <w:rPr>
          <w:rFonts w:ascii="Times New Roman" w:hAnsi="Times New Roman" w:cs="Times New Roman"/>
          <w:vertAlign w:val="superscript"/>
        </w:rPr>
        <w:t>min</w:t>
      </w:r>
      <w:proofErr w:type="spellEnd"/>
      <w:r>
        <w:rPr>
          <w:rFonts w:ascii="Times New Roman" w:hAnsi="Times New Roman" w:cs="Times New Roman"/>
        </w:rPr>
        <w:t xml:space="preserve"> and to the absolute values of </w:t>
      </w:r>
      <w:proofErr w:type="spellStart"/>
      <w:r w:rsidRPr="00791B3F">
        <w:rPr>
          <w:rFonts w:ascii="Times New Roman" w:hAnsi="Times New Roman" w:cs="Times New Roman"/>
          <w:i/>
          <w:iCs/>
        </w:rPr>
        <w:t>P</w:t>
      </w:r>
      <w:r w:rsidRPr="00791B3F">
        <w:rPr>
          <w:rFonts w:ascii="Times New Roman" w:hAnsi="Times New Roman" w:cs="Times New Roman"/>
          <w:i/>
          <w:iCs/>
          <w:vertAlign w:val="superscript"/>
        </w:rPr>
        <w:t>v</w:t>
      </w:r>
      <w:r w:rsidRPr="00791B3F">
        <w:rPr>
          <w:rFonts w:ascii="Times New Roman" w:hAnsi="Times New Roman" w:cs="Times New Roman"/>
          <w:vertAlign w:val="subscript"/>
        </w:rPr>
        <w:t>sat</w:t>
      </w:r>
      <w:proofErr w:type="spellEnd"/>
      <w:r>
        <w:rPr>
          <w:rFonts w:ascii="Times New Roman" w:hAnsi="Times New Roman" w:cs="Times New Roman"/>
        </w:rPr>
        <w:t>, which as we have emphasised is strongly dependent on the solubility of CO</w:t>
      </w:r>
      <w:r w:rsidRPr="00791B3F">
        <w:rPr>
          <w:rFonts w:ascii="Times New Roman" w:hAnsi="Times New Roman" w:cs="Times New Roman"/>
          <w:vertAlign w:val="subscript"/>
        </w:rPr>
        <w:t>2</w:t>
      </w:r>
      <w:r>
        <w:rPr>
          <w:rFonts w:ascii="Times New Roman" w:hAnsi="Times New Roman" w:cs="Times New Roman"/>
        </w:rPr>
        <w:t>.</w:t>
      </w:r>
      <w:r w:rsidR="00372AD9" w:rsidRPr="00372AD9">
        <w:rPr>
          <w:rFonts w:ascii="Times New Roman" w:hAnsi="Times New Roman" w:cs="Times New Roman"/>
        </w:rPr>
        <w:t xml:space="preserve"> </w:t>
      </w:r>
      <w:r w:rsidR="000A3D09">
        <w:rPr>
          <w:rFonts w:ascii="Times New Roman" w:hAnsi="Times New Roman" w:cs="Times New Roman"/>
        </w:rPr>
        <w:t>However, t</w:t>
      </w:r>
      <w:r w:rsidR="000A3D09" w:rsidRPr="00372AD9">
        <w:rPr>
          <w:rFonts w:ascii="Times New Roman" w:hAnsi="Times New Roman" w:cs="Times New Roman"/>
        </w:rPr>
        <w:t xml:space="preserve">here </w:t>
      </w:r>
      <w:r w:rsidR="00372AD9" w:rsidRPr="00372AD9">
        <w:rPr>
          <w:rFonts w:ascii="Times New Roman" w:hAnsi="Times New Roman" w:cs="Times New Roman"/>
        </w:rPr>
        <w:t xml:space="preserve">is a lack of: (1) complete experimental data for solubilities even for the most abundant terrestrial magmas; and (2) models that can account fully for the observed effects of melt composition on measured solubilities. </w:t>
      </w:r>
      <w:r w:rsidR="000A3D09">
        <w:rPr>
          <w:rFonts w:ascii="Times New Roman" w:hAnsi="Times New Roman" w:cs="Times New Roman"/>
        </w:rPr>
        <w:t>Hence, a</w:t>
      </w:r>
      <w:r w:rsidR="00AC4246" w:rsidRPr="00FC51E7">
        <w:rPr>
          <w:rFonts w:ascii="Times New Roman" w:hAnsi="Times New Roman" w:cs="Times New Roman"/>
        </w:rPr>
        <w:t xml:space="preserve"> full</w:t>
      </w:r>
      <w:r w:rsidR="00AC4246">
        <w:rPr>
          <w:rFonts w:ascii="Times New Roman" w:hAnsi="Times New Roman" w:cs="Times New Roman"/>
        </w:rPr>
        <w:t xml:space="preserve"> investigation of the effect of melt composition on calculations of </w:t>
      </w:r>
      <w:proofErr w:type="spellStart"/>
      <w:r w:rsidR="00AC4246" w:rsidRPr="00FC51E7">
        <w:rPr>
          <w:rFonts w:ascii="Times New Roman" w:hAnsi="Times New Roman" w:cs="Times New Roman"/>
          <w:i/>
          <w:iCs/>
        </w:rPr>
        <w:t>P</w:t>
      </w:r>
      <w:r w:rsidR="00AC4246" w:rsidRPr="00FC51E7">
        <w:rPr>
          <w:rFonts w:ascii="Times New Roman" w:hAnsi="Times New Roman" w:cs="Times New Roman"/>
          <w:i/>
          <w:iCs/>
          <w:vertAlign w:val="superscript"/>
        </w:rPr>
        <w:t>v</w:t>
      </w:r>
      <w:r w:rsidR="00AC4246" w:rsidRPr="00FC51E7">
        <w:rPr>
          <w:rFonts w:ascii="Times New Roman" w:hAnsi="Times New Roman" w:cs="Times New Roman"/>
          <w:vertAlign w:val="subscript"/>
        </w:rPr>
        <w:t>sat</w:t>
      </w:r>
      <w:proofErr w:type="spellEnd"/>
      <w:r w:rsidR="00AC4246">
        <w:rPr>
          <w:rFonts w:ascii="Times New Roman" w:hAnsi="Times New Roman" w:cs="Times New Roman"/>
        </w:rPr>
        <w:t xml:space="preserve"> are beyond the scope of this paper, especially given the lack of a general model for carbonate </w:t>
      </w:r>
      <w:r w:rsidR="00B25E21">
        <w:rPr>
          <w:rFonts w:ascii="Times New Roman" w:hAnsi="Times New Roman" w:cs="Times New Roman"/>
        </w:rPr>
        <w:t>solubility</w:t>
      </w:r>
      <w:r w:rsidR="00AC4246">
        <w:rPr>
          <w:rFonts w:ascii="Times New Roman" w:hAnsi="Times New Roman" w:cs="Times New Roman"/>
        </w:rPr>
        <w:t>. However, to ensure the trends we describe for our Hawaiian tholeiite are generalisable to other melt compositions, we apply our model to other basaltic melt compositions</w:t>
      </w:r>
      <w:r w:rsidR="000A3D09">
        <w:rPr>
          <w:rFonts w:ascii="Times New Roman" w:hAnsi="Times New Roman" w:cs="Times New Roman"/>
        </w:rPr>
        <w:t xml:space="preserve"> (</w:t>
      </w:r>
      <w:r w:rsidR="000A3D09" w:rsidRPr="000A3D09">
        <w:rPr>
          <w:rFonts w:ascii="Times New Roman" w:hAnsi="Times New Roman" w:cs="Times New Roman"/>
        </w:rPr>
        <w:fldChar w:fldCharType="begin"/>
      </w:r>
      <w:r w:rsidR="000A3D09" w:rsidRPr="000A3D09">
        <w:rPr>
          <w:rFonts w:ascii="Times New Roman" w:hAnsi="Times New Roman" w:cs="Times New Roman"/>
        </w:rPr>
        <w:instrText xml:space="preserve"> REF _Ref127449165 \h </w:instrText>
      </w:r>
      <w:r w:rsidR="000A3D09">
        <w:rPr>
          <w:rFonts w:ascii="Times New Roman" w:hAnsi="Times New Roman" w:cs="Times New Roman"/>
        </w:rPr>
        <w:instrText xml:space="preserve"> \* MERGEFORMAT </w:instrText>
      </w:r>
      <w:r w:rsidR="000A3D09" w:rsidRPr="000A3D09">
        <w:rPr>
          <w:rFonts w:ascii="Times New Roman" w:hAnsi="Times New Roman" w:cs="Times New Roman"/>
        </w:rPr>
      </w:r>
      <w:r w:rsidR="000A3D09" w:rsidRPr="000A3D09">
        <w:rPr>
          <w:rFonts w:ascii="Times New Roman" w:hAnsi="Times New Roman" w:cs="Times New Roman"/>
        </w:rPr>
        <w:fldChar w:fldCharType="separate"/>
      </w:r>
      <w:r w:rsidR="000A3D09" w:rsidRPr="000A3D09">
        <w:rPr>
          <w:rFonts w:ascii="Times New Roman" w:hAnsi="Times New Roman" w:cs="Times New Roman"/>
          <w:color w:val="000000" w:themeColor="text1"/>
        </w:rPr>
        <w:t>Table S</w:t>
      </w:r>
      <w:r w:rsidR="000A3D09" w:rsidRPr="000A3D09">
        <w:rPr>
          <w:rFonts w:ascii="Times New Roman" w:hAnsi="Times New Roman" w:cs="Times New Roman"/>
          <w:noProof/>
          <w:color w:val="000000" w:themeColor="text1"/>
        </w:rPr>
        <w:t>4</w:t>
      </w:r>
      <w:r w:rsidR="000A3D09" w:rsidRPr="000A3D09">
        <w:rPr>
          <w:rFonts w:ascii="Times New Roman" w:hAnsi="Times New Roman" w:cs="Times New Roman"/>
        </w:rPr>
        <w:fldChar w:fldCharType="end"/>
      </w:r>
      <w:r w:rsidR="000A3D09">
        <w:rPr>
          <w:rFonts w:ascii="Times New Roman" w:hAnsi="Times New Roman" w:cs="Times New Roman"/>
        </w:rPr>
        <w:t>)</w:t>
      </w:r>
      <w:r w:rsidR="00AC4246">
        <w:rPr>
          <w:rFonts w:ascii="Times New Roman" w:hAnsi="Times New Roman" w:cs="Times New Roman"/>
        </w:rPr>
        <w:t xml:space="preserve"> where the carbonate solubility function can be calculated from experiments</w:t>
      </w:r>
      <w:r w:rsidR="000A3D09">
        <w:rPr>
          <w:rFonts w:ascii="Times New Roman" w:hAnsi="Times New Roman" w:cs="Times New Roman"/>
        </w:rPr>
        <w:t xml:space="preserve"> (</w:t>
      </w:r>
      <w:r w:rsidR="000A3D09" w:rsidRPr="000A3D09">
        <w:rPr>
          <w:rFonts w:ascii="Times New Roman" w:hAnsi="Times New Roman" w:cs="Times New Roman"/>
        </w:rPr>
        <w:fldChar w:fldCharType="begin"/>
      </w:r>
      <w:r w:rsidR="000A3D09" w:rsidRPr="000A3D09">
        <w:rPr>
          <w:rFonts w:ascii="Times New Roman" w:hAnsi="Times New Roman" w:cs="Times New Roman"/>
        </w:rPr>
        <w:instrText xml:space="preserve"> REF _Ref127348576 \h </w:instrText>
      </w:r>
      <w:r w:rsidR="000A3D09">
        <w:rPr>
          <w:rFonts w:ascii="Times New Roman" w:hAnsi="Times New Roman" w:cs="Times New Roman"/>
        </w:rPr>
        <w:instrText xml:space="preserve"> \* MERGEFORMAT </w:instrText>
      </w:r>
      <w:r w:rsidR="000A3D09" w:rsidRPr="000A3D09">
        <w:rPr>
          <w:rFonts w:ascii="Times New Roman" w:hAnsi="Times New Roman" w:cs="Times New Roman"/>
        </w:rPr>
      </w:r>
      <w:r w:rsidR="000A3D09" w:rsidRPr="000A3D09">
        <w:rPr>
          <w:rFonts w:ascii="Times New Roman" w:hAnsi="Times New Roman" w:cs="Times New Roman"/>
        </w:rPr>
        <w:fldChar w:fldCharType="separate"/>
      </w:r>
      <w:r w:rsidR="000A3D09" w:rsidRPr="000A3D09">
        <w:rPr>
          <w:rFonts w:ascii="Times New Roman" w:hAnsi="Times New Roman" w:cs="Times New Roman"/>
          <w:color w:val="000000" w:themeColor="text1"/>
        </w:rPr>
        <w:t>Table S</w:t>
      </w:r>
      <w:r w:rsidR="000A3D09" w:rsidRPr="000A3D09">
        <w:rPr>
          <w:rFonts w:ascii="Times New Roman" w:hAnsi="Times New Roman" w:cs="Times New Roman"/>
          <w:noProof/>
          <w:color w:val="000000" w:themeColor="text1"/>
        </w:rPr>
        <w:t>3</w:t>
      </w:r>
      <w:r w:rsidR="000A3D09" w:rsidRPr="000A3D09">
        <w:rPr>
          <w:rFonts w:ascii="Times New Roman" w:hAnsi="Times New Roman" w:cs="Times New Roman"/>
        </w:rPr>
        <w:fldChar w:fldCharType="end"/>
      </w:r>
      <w:r w:rsidR="000A3D09">
        <w:rPr>
          <w:rFonts w:ascii="Times New Roman" w:hAnsi="Times New Roman" w:cs="Times New Roman"/>
        </w:rPr>
        <w:t>)</w:t>
      </w:r>
      <w:r w:rsidR="00AC4246">
        <w:rPr>
          <w:rFonts w:ascii="Times New Roman" w:hAnsi="Times New Roman" w:cs="Times New Roman"/>
        </w:rPr>
        <w:t xml:space="preserve">. We calculate </w:t>
      </w:r>
      <w:proofErr w:type="spellStart"/>
      <w:r w:rsidR="00AC4246" w:rsidRPr="0010091A">
        <w:rPr>
          <w:rFonts w:ascii="Times New Roman" w:hAnsi="Times New Roman" w:cs="Times New Roman"/>
          <w:i/>
          <w:iCs/>
        </w:rPr>
        <w:t>P</w:t>
      </w:r>
      <w:r w:rsidR="00AC4246" w:rsidRPr="0010091A">
        <w:rPr>
          <w:rFonts w:ascii="Times New Roman" w:hAnsi="Times New Roman" w:cs="Times New Roman"/>
          <w:i/>
          <w:iCs/>
          <w:vertAlign w:val="superscript"/>
        </w:rPr>
        <w:t>v</w:t>
      </w:r>
      <w:r w:rsidR="00AC4246" w:rsidRPr="0010091A">
        <w:rPr>
          <w:rFonts w:ascii="Times New Roman" w:hAnsi="Times New Roman" w:cs="Times New Roman"/>
          <w:vertAlign w:val="subscript"/>
        </w:rPr>
        <w:t>sat</w:t>
      </w:r>
      <w:proofErr w:type="spellEnd"/>
      <w:r w:rsidR="00AC4246">
        <w:rPr>
          <w:rFonts w:ascii="Times New Roman" w:hAnsi="Times New Roman" w:cs="Times New Roman"/>
        </w:rPr>
        <w:t xml:space="preserve"> for the same </w:t>
      </w:r>
      <w:r w:rsidR="00AC4246">
        <w:rPr>
          <w:rFonts w:ascii="Times New Roman" w:hAnsi="Times New Roman" w:cs="Times New Roman"/>
        </w:rPr>
        <w:lastRenderedPageBreak/>
        <w:t xml:space="preserve">conditions used </w:t>
      </w:r>
      <w:r w:rsidR="00B25E21">
        <w:rPr>
          <w:rFonts w:ascii="Times New Roman" w:hAnsi="Times New Roman" w:cs="Times New Roman"/>
        </w:rPr>
        <w:t>in case 3 of</w:t>
      </w:r>
      <w:r w:rsidR="00AC4246">
        <w:rPr>
          <w:rFonts w:ascii="Times New Roman" w:hAnsi="Times New Roman" w:cs="Times New Roman"/>
        </w:rPr>
        <w:t xml:space="preserve"> the main text for the Hawaiian tholeiite (1200 </w:t>
      </w:r>
      <w:r w:rsidR="00AC4246" w:rsidRPr="004168B8">
        <w:rPr>
          <w:rFonts w:ascii="Times New Roman" w:hAnsi="Times New Roman" w:cs="Times New Roman"/>
        </w:rPr>
        <w:t>°</w:t>
      </w:r>
      <w:r w:rsidR="00AC4246">
        <w:rPr>
          <w:rFonts w:ascii="Times New Roman" w:hAnsi="Times New Roman" w:cs="Times New Roman"/>
        </w:rPr>
        <w:t xml:space="preserve">C, </w:t>
      </w:r>
      <w:r w:rsidR="00AC4246" w:rsidRPr="002358AE">
        <w:rPr>
          <w:rFonts w:ascii="Times New Roman" w:hAnsi="Times New Roman" w:cs="Times New Roman"/>
        </w:rPr>
        <w:t xml:space="preserve">3 </w:t>
      </w:r>
      <w:proofErr w:type="spellStart"/>
      <w:r w:rsidR="00AC4246" w:rsidRPr="002358AE">
        <w:rPr>
          <w:rFonts w:ascii="Times New Roman" w:hAnsi="Times New Roman" w:cs="Times New Roman"/>
        </w:rPr>
        <w:t>wt</w:t>
      </w:r>
      <w:proofErr w:type="spellEnd"/>
      <w:r w:rsidR="00AC4246" w:rsidRPr="002358AE">
        <w:rPr>
          <w:rFonts w:ascii="Times New Roman" w:hAnsi="Times New Roman" w:cs="Times New Roman"/>
        </w:rPr>
        <w:t>% H</w:t>
      </w:r>
      <w:r w:rsidR="00AC4246" w:rsidRPr="00FC51E7">
        <w:rPr>
          <w:rFonts w:ascii="Times New Roman" w:hAnsi="Times New Roman" w:cs="Times New Roman"/>
          <w:vertAlign w:val="subscript"/>
        </w:rPr>
        <w:t>2</w:t>
      </w:r>
      <w:r w:rsidR="00AC4246" w:rsidRPr="002358AE">
        <w:rPr>
          <w:rFonts w:ascii="Times New Roman" w:hAnsi="Times New Roman" w:cs="Times New Roman"/>
        </w:rPr>
        <w:t>O-eq, 1000 ppm CO</w:t>
      </w:r>
      <w:r w:rsidR="00AC4246" w:rsidRPr="00FC51E7">
        <w:rPr>
          <w:rFonts w:ascii="Times New Roman" w:hAnsi="Times New Roman" w:cs="Times New Roman"/>
          <w:vertAlign w:val="subscript"/>
        </w:rPr>
        <w:t>2</w:t>
      </w:r>
      <w:r w:rsidR="00AC4246" w:rsidRPr="002358AE">
        <w:rPr>
          <w:rFonts w:ascii="Times New Roman" w:hAnsi="Times New Roman" w:cs="Times New Roman"/>
        </w:rPr>
        <w:t>-eq, and 1000 ppm S-</w:t>
      </w:r>
      <w:proofErr w:type="spellStart"/>
      <w:r w:rsidR="00AC4246" w:rsidRPr="002358AE">
        <w:rPr>
          <w:rFonts w:ascii="Times New Roman" w:hAnsi="Times New Roman" w:cs="Times New Roman"/>
        </w:rPr>
        <w:t>eq</w:t>
      </w:r>
      <w:proofErr w:type="spellEnd"/>
      <w:r w:rsidR="00AC4246">
        <w:rPr>
          <w:rFonts w:ascii="Times New Roman" w:hAnsi="Times New Roman" w:cs="Times New Roman"/>
        </w:rPr>
        <w:t xml:space="preserve">) but </w:t>
      </w:r>
      <w:r w:rsidR="000A3D09">
        <w:rPr>
          <w:rFonts w:ascii="Times New Roman" w:hAnsi="Times New Roman" w:cs="Times New Roman"/>
        </w:rPr>
        <w:t>vary</w:t>
      </w:r>
      <w:r w:rsidR="00AC4246">
        <w:rPr>
          <w:rFonts w:ascii="Times New Roman" w:hAnsi="Times New Roman" w:cs="Times New Roman"/>
        </w:rPr>
        <w:t xml:space="preserve"> the melt composition (</w:t>
      </w:r>
      <w:r w:rsidR="00B25E21" w:rsidRPr="00B25E21">
        <w:rPr>
          <w:rFonts w:ascii="Times New Roman" w:hAnsi="Times New Roman" w:cs="Times New Roman"/>
        </w:rPr>
        <w:fldChar w:fldCharType="begin"/>
      </w:r>
      <w:r w:rsidR="00B25E21" w:rsidRPr="00B25E21">
        <w:rPr>
          <w:rFonts w:ascii="Times New Roman" w:hAnsi="Times New Roman" w:cs="Times New Roman"/>
        </w:rPr>
        <w:instrText xml:space="preserve"> REF _Ref127449165 \h </w:instrText>
      </w:r>
      <w:r w:rsidR="00B25E21">
        <w:rPr>
          <w:rFonts w:ascii="Times New Roman" w:hAnsi="Times New Roman" w:cs="Times New Roman"/>
        </w:rPr>
        <w:instrText xml:space="preserve"> \* MERGEFORMAT </w:instrText>
      </w:r>
      <w:r w:rsidR="00B25E21" w:rsidRPr="00B25E21">
        <w:rPr>
          <w:rFonts w:ascii="Times New Roman" w:hAnsi="Times New Roman" w:cs="Times New Roman"/>
        </w:rPr>
      </w:r>
      <w:r w:rsidR="00B25E21" w:rsidRPr="00B25E21">
        <w:rPr>
          <w:rFonts w:ascii="Times New Roman" w:hAnsi="Times New Roman" w:cs="Times New Roman"/>
        </w:rPr>
        <w:fldChar w:fldCharType="separate"/>
      </w:r>
      <w:r w:rsidR="00B25E21" w:rsidRPr="00B25E21">
        <w:rPr>
          <w:rFonts w:ascii="Times New Roman" w:hAnsi="Times New Roman" w:cs="Times New Roman"/>
          <w:color w:val="000000" w:themeColor="text1"/>
        </w:rPr>
        <w:t>Table S</w:t>
      </w:r>
      <w:r w:rsidR="00B25E21" w:rsidRPr="00B25E21">
        <w:rPr>
          <w:rFonts w:ascii="Times New Roman" w:hAnsi="Times New Roman" w:cs="Times New Roman"/>
          <w:noProof/>
          <w:color w:val="000000" w:themeColor="text1"/>
        </w:rPr>
        <w:t>4</w:t>
      </w:r>
      <w:r w:rsidR="00B25E21" w:rsidRPr="00B25E21">
        <w:rPr>
          <w:rFonts w:ascii="Times New Roman" w:hAnsi="Times New Roman" w:cs="Times New Roman"/>
        </w:rPr>
        <w:fldChar w:fldCharType="end"/>
      </w:r>
      <w:r w:rsidR="00AC4246">
        <w:rPr>
          <w:rFonts w:ascii="Times New Roman" w:hAnsi="Times New Roman" w:cs="Times New Roman"/>
        </w:rPr>
        <w:t xml:space="preserve">) and use the appropriate carbonate </w:t>
      </w:r>
      <w:r w:rsidR="000A3D09">
        <w:rPr>
          <w:rFonts w:ascii="Times New Roman" w:hAnsi="Times New Roman" w:cs="Times New Roman"/>
        </w:rPr>
        <w:t>solubility</w:t>
      </w:r>
      <w:r w:rsidR="00AC4246">
        <w:rPr>
          <w:rFonts w:ascii="Times New Roman" w:hAnsi="Times New Roman" w:cs="Times New Roman"/>
        </w:rPr>
        <w:t xml:space="preserve"> (i.e., appropriate </w:t>
      </w:r>
      <w:r w:rsidR="00AC4246" w:rsidRPr="004168B8">
        <w:rPr>
          <w:rFonts w:ascii="Times New Roman" w:hAnsi="Times New Roman" w:cs="Times New Roman"/>
        </w:rPr>
        <w:t>ln</w:t>
      </w:r>
      <w:r w:rsidR="00AC4246" w:rsidRPr="004168B8">
        <w:rPr>
          <w:rFonts w:ascii="Times New Roman" w:hAnsi="Times New Roman" w:cs="Times New Roman"/>
          <w:i/>
          <w:iCs/>
        </w:rPr>
        <w:t>K</w:t>
      </w:r>
      <w:r w:rsidR="00AC4246" w:rsidRPr="004168B8">
        <w:rPr>
          <w:rFonts w:ascii="Times New Roman" w:hAnsi="Times New Roman" w:cs="Times New Roman"/>
          <w:vertAlign w:val="subscript"/>
        </w:rPr>
        <w:t>0</w:t>
      </w:r>
      <w:r w:rsidR="00AC4246" w:rsidRPr="004168B8">
        <w:rPr>
          <w:rFonts w:ascii="Times New Roman" w:hAnsi="Times New Roman" w:cs="Times New Roman"/>
        </w:rPr>
        <w:t xml:space="preserve"> and Δ</w:t>
      </w:r>
      <w:r w:rsidR="00AC4246" w:rsidRPr="004168B8">
        <w:rPr>
          <w:rFonts w:ascii="Times New Roman" w:hAnsi="Times New Roman" w:cs="Times New Roman"/>
          <w:i/>
          <w:iCs/>
        </w:rPr>
        <w:t>V</w:t>
      </w:r>
      <w:r w:rsidR="00AC4246" w:rsidRPr="004168B8">
        <w:rPr>
          <w:rFonts w:ascii="Times New Roman" w:hAnsi="Times New Roman" w:cs="Times New Roman"/>
          <w:vertAlign w:val="subscript"/>
        </w:rPr>
        <w:t>0</w:t>
      </w:r>
      <w:r w:rsidR="00AC4246">
        <w:rPr>
          <w:rFonts w:ascii="Times New Roman" w:hAnsi="Times New Roman" w:cs="Times New Roman"/>
        </w:rPr>
        <w:t xml:space="preserve">; see </w:t>
      </w:r>
      <w:r w:rsidR="00F03988">
        <w:rPr>
          <w:rFonts w:ascii="Times New Roman" w:hAnsi="Times New Roman" w:cs="Times New Roman"/>
        </w:rPr>
        <w:t xml:space="preserve">Supplementary Material </w:t>
      </w:r>
      <w:r w:rsidR="00AC4246">
        <w:rPr>
          <w:rFonts w:ascii="Times New Roman" w:hAnsi="Times New Roman" w:cs="Times New Roman"/>
        </w:rPr>
        <w:t xml:space="preserve">Section </w:t>
      </w:r>
      <w:r w:rsidR="00AC4246">
        <w:rPr>
          <w:rFonts w:ascii="Times New Roman" w:hAnsi="Times New Roman" w:cs="Times New Roman"/>
        </w:rPr>
        <w:fldChar w:fldCharType="begin"/>
      </w:r>
      <w:r w:rsidR="00AC4246">
        <w:rPr>
          <w:rFonts w:ascii="Times New Roman" w:hAnsi="Times New Roman" w:cs="Times New Roman"/>
        </w:rPr>
        <w:instrText xml:space="preserve"> REF _Ref63943641 \r \h </w:instrText>
      </w:r>
      <w:r w:rsidR="00AC4246">
        <w:rPr>
          <w:rFonts w:ascii="Times New Roman" w:hAnsi="Times New Roman" w:cs="Times New Roman"/>
        </w:rPr>
      </w:r>
      <w:r w:rsidR="00AC4246">
        <w:rPr>
          <w:rFonts w:ascii="Times New Roman" w:hAnsi="Times New Roman" w:cs="Times New Roman"/>
        </w:rPr>
        <w:fldChar w:fldCharType="separate"/>
      </w:r>
      <w:r w:rsidR="00AC4246">
        <w:rPr>
          <w:rFonts w:ascii="Times New Roman" w:hAnsi="Times New Roman" w:cs="Times New Roman"/>
        </w:rPr>
        <w:t>2.2.1</w:t>
      </w:r>
      <w:r w:rsidR="00AC4246">
        <w:rPr>
          <w:rFonts w:ascii="Times New Roman" w:hAnsi="Times New Roman" w:cs="Times New Roman"/>
        </w:rPr>
        <w:fldChar w:fldCharType="end"/>
      </w:r>
      <w:r w:rsidR="00AC4246">
        <w:rPr>
          <w:rFonts w:ascii="Times New Roman" w:hAnsi="Times New Roman" w:cs="Times New Roman"/>
        </w:rPr>
        <w:t xml:space="preserve"> for details). </w:t>
      </w:r>
      <w:r w:rsidR="000A3D09">
        <w:rPr>
          <w:rFonts w:ascii="Times New Roman" w:hAnsi="Times New Roman" w:cs="Times New Roman"/>
        </w:rPr>
        <w:t xml:space="preserve">The </w:t>
      </w:r>
      <w:proofErr w:type="spellStart"/>
      <w:r w:rsidR="000A3D09">
        <w:rPr>
          <w:rFonts w:ascii="Times New Roman" w:hAnsi="Times New Roman" w:cs="Times New Roman"/>
        </w:rPr>
        <w:t>sulfide</w:t>
      </w:r>
      <w:proofErr w:type="spellEnd"/>
      <w:r w:rsidR="000A3D09">
        <w:rPr>
          <w:rFonts w:ascii="Times New Roman" w:hAnsi="Times New Roman" w:cs="Times New Roman"/>
        </w:rPr>
        <w:t xml:space="preserve"> and </w:t>
      </w:r>
      <w:proofErr w:type="spellStart"/>
      <w:r w:rsidR="000A3D09">
        <w:rPr>
          <w:rFonts w:ascii="Times New Roman" w:hAnsi="Times New Roman" w:cs="Times New Roman"/>
        </w:rPr>
        <w:t>sulfate</w:t>
      </w:r>
      <w:proofErr w:type="spellEnd"/>
      <w:r w:rsidR="000A3D09">
        <w:rPr>
          <w:rFonts w:ascii="Times New Roman" w:hAnsi="Times New Roman" w:cs="Times New Roman"/>
        </w:rPr>
        <w:t xml:space="preserve"> </w:t>
      </w:r>
      <w:r w:rsidR="00ED4756">
        <w:rPr>
          <w:rFonts w:ascii="Times New Roman" w:hAnsi="Times New Roman" w:cs="Times New Roman"/>
        </w:rPr>
        <w:t>solubilities</w:t>
      </w:r>
      <w:r w:rsidR="000A3D09">
        <w:rPr>
          <w:rFonts w:ascii="Times New Roman" w:hAnsi="Times New Roman" w:cs="Times New Roman"/>
        </w:rPr>
        <w:t xml:space="preserve"> are therefore calculated for the compositions given in </w:t>
      </w:r>
      <w:r w:rsidR="000A3D09" w:rsidRPr="000A3D09">
        <w:rPr>
          <w:rFonts w:ascii="Times New Roman" w:hAnsi="Times New Roman" w:cs="Times New Roman"/>
        </w:rPr>
        <w:fldChar w:fldCharType="begin"/>
      </w:r>
      <w:r w:rsidR="000A3D09" w:rsidRPr="000A3D09">
        <w:rPr>
          <w:rFonts w:ascii="Times New Roman" w:hAnsi="Times New Roman" w:cs="Times New Roman"/>
        </w:rPr>
        <w:instrText xml:space="preserve"> REF _Ref127449165 \h </w:instrText>
      </w:r>
      <w:r w:rsidR="000A3D09">
        <w:rPr>
          <w:rFonts w:ascii="Times New Roman" w:hAnsi="Times New Roman" w:cs="Times New Roman"/>
        </w:rPr>
        <w:instrText xml:space="preserve"> \* MERGEFORMAT </w:instrText>
      </w:r>
      <w:r w:rsidR="000A3D09" w:rsidRPr="000A3D09">
        <w:rPr>
          <w:rFonts w:ascii="Times New Roman" w:hAnsi="Times New Roman" w:cs="Times New Roman"/>
        </w:rPr>
      </w:r>
      <w:r w:rsidR="000A3D09" w:rsidRPr="000A3D09">
        <w:rPr>
          <w:rFonts w:ascii="Times New Roman" w:hAnsi="Times New Roman" w:cs="Times New Roman"/>
        </w:rPr>
        <w:fldChar w:fldCharType="separate"/>
      </w:r>
      <w:r w:rsidR="000A3D09" w:rsidRPr="000A3D09">
        <w:rPr>
          <w:rFonts w:ascii="Times New Roman" w:hAnsi="Times New Roman" w:cs="Times New Roman"/>
          <w:color w:val="000000" w:themeColor="text1"/>
        </w:rPr>
        <w:t>Table S</w:t>
      </w:r>
      <w:r w:rsidR="000A3D09" w:rsidRPr="000A3D09">
        <w:rPr>
          <w:rFonts w:ascii="Times New Roman" w:hAnsi="Times New Roman" w:cs="Times New Roman"/>
          <w:noProof/>
          <w:color w:val="000000" w:themeColor="text1"/>
        </w:rPr>
        <w:t>4</w:t>
      </w:r>
      <w:r w:rsidR="000A3D09" w:rsidRPr="000A3D09">
        <w:rPr>
          <w:rFonts w:ascii="Times New Roman" w:hAnsi="Times New Roman" w:cs="Times New Roman"/>
        </w:rPr>
        <w:fldChar w:fldCharType="end"/>
      </w:r>
      <w:r w:rsidR="00ED4756">
        <w:rPr>
          <w:rFonts w:ascii="Times New Roman" w:hAnsi="Times New Roman" w:cs="Times New Roman"/>
        </w:rPr>
        <w:t>, as is the relationship between Fe</w:t>
      </w:r>
      <w:r w:rsidR="00ED4756" w:rsidRPr="00ED4756">
        <w:rPr>
          <w:rFonts w:ascii="Times New Roman" w:hAnsi="Times New Roman" w:cs="Times New Roman"/>
          <w:vertAlign w:val="superscript"/>
        </w:rPr>
        <w:t>3+</w:t>
      </w:r>
      <w:r w:rsidR="00ED4756">
        <w:rPr>
          <w:rFonts w:ascii="Times New Roman" w:hAnsi="Times New Roman" w:cs="Times New Roman"/>
        </w:rPr>
        <w:t>/</w:t>
      </w:r>
      <w:proofErr w:type="spellStart"/>
      <w:r w:rsidR="00ED4756">
        <w:rPr>
          <w:rFonts w:ascii="Times New Roman" w:hAnsi="Times New Roman" w:cs="Times New Roman"/>
        </w:rPr>
        <w:t>Fe</w:t>
      </w:r>
      <w:r w:rsidR="00ED4756" w:rsidRPr="00ED4756">
        <w:rPr>
          <w:rFonts w:ascii="Times New Roman" w:hAnsi="Times New Roman" w:cs="Times New Roman"/>
          <w:vertAlign w:val="subscript"/>
        </w:rPr>
        <w:t>T</w:t>
      </w:r>
      <w:proofErr w:type="spellEnd"/>
      <w:r w:rsidR="00ED4756">
        <w:rPr>
          <w:rFonts w:ascii="Times New Roman" w:hAnsi="Times New Roman" w:cs="Times New Roman"/>
        </w:rPr>
        <w:t xml:space="preserve"> and </w:t>
      </w:r>
      <w:r w:rsidR="00ED4756" w:rsidRPr="00ED4756">
        <w:rPr>
          <w:rFonts w:ascii="Times New Roman" w:hAnsi="Times New Roman" w:cs="Times New Roman"/>
          <w:i/>
          <w:iCs/>
        </w:rPr>
        <w:t>f</w:t>
      </w:r>
      <w:r w:rsidR="00ED4756" w:rsidRPr="00ED4756">
        <w:rPr>
          <w:rFonts w:ascii="Times New Roman" w:hAnsi="Times New Roman" w:cs="Times New Roman"/>
          <w:vertAlign w:val="subscript"/>
        </w:rPr>
        <w:t>O2</w:t>
      </w:r>
      <w:r w:rsidR="000A3D09">
        <w:rPr>
          <w:rFonts w:ascii="Times New Roman" w:hAnsi="Times New Roman" w:cs="Times New Roman"/>
        </w:rPr>
        <w:t>.</w:t>
      </w:r>
      <w:r w:rsidR="00ED4756">
        <w:rPr>
          <w:rFonts w:ascii="Times New Roman" w:hAnsi="Times New Roman" w:cs="Times New Roman"/>
        </w:rPr>
        <w:t xml:space="preserve"> All other solubilities (i.e., H</w:t>
      </w:r>
      <w:r w:rsidR="00ED4756" w:rsidRPr="00ED4756">
        <w:rPr>
          <w:rFonts w:ascii="Times New Roman" w:hAnsi="Times New Roman" w:cs="Times New Roman"/>
          <w:vertAlign w:val="subscript"/>
        </w:rPr>
        <w:t>2</w:t>
      </w:r>
      <w:r w:rsidR="00ED4756">
        <w:rPr>
          <w:rFonts w:ascii="Times New Roman" w:hAnsi="Times New Roman" w:cs="Times New Roman"/>
        </w:rPr>
        <w:t>O</w:t>
      </w:r>
      <w:r w:rsidR="00ED4756" w:rsidRPr="00ED4756">
        <w:rPr>
          <w:rFonts w:ascii="Times New Roman" w:hAnsi="Times New Roman" w:cs="Times New Roman"/>
          <w:vertAlign w:val="subscript"/>
        </w:rPr>
        <w:t>T</w:t>
      </w:r>
      <w:r w:rsidR="00ED4756">
        <w:rPr>
          <w:rFonts w:ascii="Times New Roman" w:hAnsi="Times New Roman" w:cs="Times New Roman"/>
        </w:rPr>
        <w:t>, H</w:t>
      </w:r>
      <w:proofErr w:type="gramStart"/>
      <w:r w:rsidR="00ED4756" w:rsidRPr="00ED4756">
        <w:rPr>
          <w:rFonts w:ascii="Times New Roman" w:hAnsi="Times New Roman" w:cs="Times New Roman"/>
          <w:vertAlign w:val="subscript"/>
        </w:rPr>
        <w:t>2,mol</w:t>
      </w:r>
      <w:proofErr w:type="gramEnd"/>
      <w:r w:rsidR="00ED4756">
        <w:rPr>
          <w:rFonts w:ascii="Times New Roman" w:hAnsi="Times New Roman" w:cs="Times New Roman"/>
        </w:rPr>
        <w:t xml:space="preserve">, </w:t>
      </w:r>
      <w:proofErr w:type="spellStart"/>
      <w:r w:rsidR="00ED4756">
        <w:rPr>
          <w:rFonts w:ascii="Times New Roman" w:hAnsi="Times New Roman" w:cs="Times New Roman"/>
        </w:rPr>
        <w:t>CO</w:t>
      </w:r>
      <w:r w:rsidR="00ED4756" w:rsidRPr="00ED4756">
        <w:rPr>
          <w:rFonts w:ascii="Times New Roman" w:hAnsi="Times New Roman" w:cs="Times New Roman"/>
          <w:vertAlign w:val="subscript"/>
        </w:rPr>
        <w:t>mol</w:t>
      </w:r>
      <w:proofErr w:type="spellEnd"/>
      <w:r w:rsidR="00ED4756">
        <w:rPr>
          <w:rFonts w:ascii="Times New Roman" w:hAnsi="Times New Roman" w:cs="Times New Roman"/>
        </w:rPr>
        <w:t>, CH</w:t>
      </w:r>
      <w:r w:rsidR="00ED4756" w:rsidRPr="00ED4756">
        <w:rPr>
          <w:rFonts w:ascii="Times New Roman" w:hAnsi="Times New Roman" w:cs="Times New Roman"/>
          <w:vertAlign w:val="subscript"/>
        </w:rPr>
        <w:t>4,mol</w:t>
      </w:r>
      <w:r w:rsidR="00ED4756">
        <w:rPr>
          <w:rFonts w:ascii="Times New Roman" w:hAnsi="Times New Roman" w:cs="Times New Roman"/>
        </w:rPr>
        <w:t>, and H</w:t>
      </w:r>
      <w:r w:rsidR="00ED4756" w:rsidRPr="00ED4756">
        <w:rPr>
          <w:rFonts w:ascii="Times New Roman" w:hAnsi="Times New Roman" w:cs="Times New Roman"/>
          <w:vertAlign w:val="subscript"/>
        </w:rPr>
        <w:t>2</w:t>
      </w:r>
      <w:r w:rsidR="00ED4756">
        <w:rPr>
          <w:rFonts w:ascii="Times New Roman" w:hAnsi="Times New Roman" w:cs="Times New Roman"/>
        </w:rPr>
        <w:t>S</w:t>
      </w:r>
      <w:r w:rsidR="00ED4756" w:rsidRPr="00ED4756">
        <w:rPr>
          <w:rFonts w:ascii="Times New Roman" w:hAnsi="Times New Roman" w:cs="Times New Roman"/>
          <w:vertAlign w:val="subscript"/>
        </w:rPr>
        <w:t>mol</w:t>
      </w:r>
      <w:r w:rsidR="00ED4756">
        <w:rPr>
          <w:rFonts w:ascii="Times New Roman" w:hAnsi="Times New Roman" w:cs="Times New Roman"/>
        </w:rPr>
        <w:t>) are the same in all calculations</w:t>
      </w:r>
    </w:p>
    <w:p w14:paraId="467BFBBA" w14:textId="77777777" w:rsidR="00AC4246" w:rsidRDefault="00AC4246" w:rsidP="00AC4246">
      <w:pPr>
        <w:jc w:val="both"/>
        <w:rPr>
          <w:rFonts w:ascii="Times New Roman" w:hAnsi="Times New Roman" w:cs="Times New Roman"/>
        </w:rPr>
      </w:pPr>
    </w:p>
    <w:p w14:paraId="1D74F599" w14:textId="3A5C9636" w:rsidR="00AC4246" w:rsidRPr="001378E6" w:rsidRDefault="00AC4246" w:rsidP="00AC4246">
      <w:pPr>
        <w:pStyle w:val="Caption"/>
        <w:keepNext/>
        <w:spacing w:after="0"/>
        <w:ind w:firstLine="0"/>
        <w:rPr>
          <w:color w:val="000000" w:themeColor="text1"/>
        </w:rPr>
      </w:pPr>
      <w:bookmarkStart w:id="32" w:name="_Ref127449165"/>
      <w:r w:rsidRPr="00FC51E7">
        <w:rPr>
          <w:color w:val="000000" w:themeColor="text1"/>
          <w:sz w:val="24"/>
          <w:szCs w:val="24"/>
        </w:rPr>
        <w:t xml:space="preserve">Table </w:t>
      </w:r>
      <w:r>
        <w:rPr>
          <w:color w:val="000000" w:themeColor="text1"/>
          <w:sz w:val="24"/>
          <w:szCs w:val="24"/>
        </w:rPr>
        <w:t>S</w:t>
      </w:r>
      <w:r w:rsidRPr="00FC51E7">
        <w:rPr>
          <w:color w:val="000000" w:themeColor="text1"/>
          <w:sz w:val="24"/>
          <w:szCs w:val="24"/>
        </w:rPr>
        <w:fldChar w:fldCharType="begin"/>
      </w:r>
      <w:r w:rsidRPr="001378E6">
        <w:rPr>
          <w:color w:val="000000" w:themeColor="text1"/>
          <w:sz w:val="24"/>
          <w:szCs w:val="24"/>
        </w:rPr>
        <w:instrText xml:space="preserve"> SEQ Table \* ARABIC </w:instrText>
      </w:r>
      <w:r w:rsidRPr="00FC51E7">
        <w:rPr>
          <w:color w:val="000000" w:themeColor="text1"/>
          <w:sz w:val="24"/>
          <w:szCs w:val="24"/>
        </w:rPr>
        <w:fldChar w:fldCharType="separate"/>
      </w:r>
      <w:r>
        <w:rPr>
          <w:noProof/>
          <w:color w:val="000000" w:themeColor="text1"/>
          <w:sz w:val="24"/>
          <w:szCs w:val="24"/>
        </w:rPr>
        <w:t>4</w:t>
      </w:r>
      <w:r w:rsidRPr="00FC51E7">
        <w:rPr>
          <w:color w:val="000000" w:themeColor="text1"/>
          <w:sz w:val="24"/>
          <w:szCs w:val="24"/>
        </w:rPr>
        <w:fldChar w:fldCharType="end"/>
      </w:r>
      <w:bookmarkEnd w:id="32"/>
      <w:r>
        <w:rPr>
          <w:i w:val="0"/>
          <w:iCs w:val="0"/>
          <w:color w:val="000000" w:themeColor="text1"/>
          <w:sz w:val="24"/>
          <w:szCs w:val="24"/>
        </w:rPr>
        <w:t xml:space="preserve"> </w:t>
      </w:r>
      <w:r w:rsidR="00B25E21">
        <w:rPr>
          <w:i w:val="0"/>
          <w:iCs w:val="0"/>
          <w:color w:val="000000" w:themeColor="text1"/>
          <w:sz w:val="24"/>
          <w:szCs w:val="24"/>
        </w:rPr>
        <w:t>Basaltic m</w:t>
      </w:r>
      <w:r>
        <w:rPr>
          <w:i w:val="0"/>
          <w:iCs w:val="0"/>
          <w:color w:val="000000" w:themeColor="text1"/>
          <w:sz w:val="24"/>
          <w:szCs w:val="24"/>
        </w:rPr>
        <w:t>elt compositions.</w:t>
      </w:r>
    </w:p>
    <w:tbl>
      <w:tblPr>
        <w:tblStyle w:val="TableGrid"/>
        <w:tblW w:w="0" w:type="auto"/>
        <w:tblLook w:val="04A0" w:firstRow="1" w:lastRow="0" w:firstColumn="1" w:lastColumn="0" w:noHBand="0" w:noVBand="1"/>
      </w:tblPr>
      <w:tblGrid>
        <w:gridCol w:w="1716"/>
        <w:gridCol w:w="756"/>
        <w:gridCol w:w="683"/>
        <w:gridCol w:w="797"/>
        <w:gridCol w:w="759"/>
        <w:gridCol w:w="723"/>
        <w:gridCol w:w="723"/>
        <w:gridCol w:w="769"/>
        <w:gridCol w:w="752"/>
        <w:gridCol w:w="654"/>
        <w:gridCol w:w="684"/>
      </w:tblGrid>
      <w:tr w:rsidR="004358B7" w14:paraId="3910CC26" w14:textId="77777777" w:rsidTr="00B016E9">
        <w:tc>
          <w:tcPr>
            <w:tcW w:w="1716" w:type="dxa"/>
          </w:tcPr>
          <w:p w14:paraId="2AFEBF0E" w14:textId="77777777" w:rsidR="00AC4246" w:rsidRDefault="00AC4246" w:rsidP="00B016E9">
            <w:pPr>
              <w:jc w:val="both"/>
              <w:rPr>
                <w:rFonts w:ascii="Times New Roman" w:hAnsi="Times New Roman" w:cs="Times New Roman"/>
              </w:rPr>
            </w:pPr>
            <w:r>
              <w:rPr>
                <w:rFonts w:ascii="Times New Roman" w:hAnsi="Times New Roman" w:cs="Times New Roman"/>
              </w:rPr>
              <w:t>Composition</w:t>
            </w:r>
          </w:p>
        </w:tc>
        <w:tc>
          <w:tcPr>
            <w:tcW w:w="756" w:type="dxa"/>
          </w:tcPr>
          <w:p w14:paraId="09F45913" w14:textId="77777777" w:rsidR="00AC4246" w:rsidRDefault="00AC4246" w:rsidP="00B016E9">
            <w:pPr>
              <w:jc w:val="both"/>
              <w:rPr>
                <w:rFonts w:ascii="Times New Roman" w:hAnsi="Times New Roman" w:cs="Times New Roman"/>
              </w:rPr>
            </w:pPr>
            <w:r w:rsidRPr="00CC0D73">
              <w:rPr>
                <w:rFonts w:ascii="Times New Roman" w:hAnsi="Times New Roman" w:cs="Times New Roman"/>
              </w:rPr>
              <w:t>SiO</w:t>
            </w:r>
            <w:r w:rsidRPr="00CC0D73">
              <w:rPr>
                <w:rFonts w:ascii="Times New Roman" w:hAnsi="Times New Roman" w:cs="Times New Roman"/>
                <w:vertAlign w:val="subscript"/>
              </w:rPr>
              <w:t>2</w:t>
            </w:r>
          </w:p>
        </w:tc>
        <w:tc>
          <w:tcPr>
            <w:tcW w:w="683" w:type="dxa"/>
          </w:tcPr>
          <w:p w14:paraId="7E09F156" w14:textId="77777777" w:rsidR="00AC4246" w:rsidRDefault="00AC4246" w:rsidP="00B016E9">
            <w:pPr>
              <w:jc w:val="both"/>
              <w:rPr>
                <w:rFonts w:ascii="Times New Roman" w:hAnsi="Times New Roman" w:cs="Times New Roman"/>
              </w:rPr>
            </w:pPr>
            <w:r w:rsidRPr="00CC0D73">
              <w:rPr>
                <w:rFonts w:ascii="Times New Roman" w:hAnsi="Times New Roman" w:cs="Times New Roman"/>
              </w:rPr>
              <w:t>TiO</w:t>
            </w:r>
            <w:r w:rsidRPr="00CC0D73">
              <w:rPr>
                <w:rFonts w:ascii="Times New Roman" w:hAnsi="Times New Roman" w:cs="Times New Roman"/>
                <w:vertAlign w:val="subscript"/>
              </w:rPr>
              <w:t>2</w:t>
            </w:r>
          </w:p>
        </w:tc>
        <w:tc>
          <w:tcPr>
            <w:tcW w:w="797" w:type="dxa"/>
          </w:tcPr>
          <w:p w14:paraId="5E7C5C5D" w14:textId="77777777" w:rsidR="00AC4246" w:rsidRDefault="00AC4246" w:rsidP="00B016E9">
            <w:pPr>
              <w:jc w:val="both"/>
              <w:rPr>
                <w:rFonts w:ascii="Times New Roman" w:hAnsi="Times New Roman" w:cs="Times New Roman"/>
              </w:rPr>
            </w:pPr>
            <w:r w:rsidRPr="00CC0D73">
              <w:rPr>
                <w:rFonts w:ascii="Times New Roman" w:hAnsi="Times New Roman" w:cs="Times New Roman"/>
              </w:rPr>
              <w:t>Al</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3</w:t>
            </w:r>
          </w:p>
        </w:tc>
        <w:tc>
          <w:tcPr>
            <w:tcW w:w="759" w:type="dxa"/>
          </w:tcPr>
          <w:p w14:paraId="63F039D1" w14:textId="77777777" w:rsidR="00AC4246" w:rsidRDefault="00AC4246" w:rsidP="00B016E9">
            <w:pPr>
              <w:jc w:val="both"/>
              <w:rPr>
                <w:rFonts w:ascii="Times New Roman" w:hAnsi="Times New Roman" w:cs="Times New Roman"/>
              </w:rPr>
            </w:pPr>
            <w:proofErr w:type="spellStart"/>
            <w:r w:rsidRPr="00CC0D73">
              <w:rPr>
                <w:rFonts w:ascii="Times New Roman" w:hAnsi="Times New Roman" w:cs="Times New Roman"/>
              </w:rPr>
              <w:t>FeO</w:t>
            </w:r>
            <w:r w:rsidRPr="00CC0D73">
              <w:rPr>
                <w:rFonts w:ascii="Times New Roman" w:hAnsi="Times New Roman" w:cs="Times New Roman"/>
                <w:vertAlign w:val="subscript"/>
              </w:rPr>
              <w:t>T</w:t>
            </w:r>
            <w:proofErr w:type="spellEnd"/>
          </w:p>
        </w:tc>
        <w:tc>
          <w:tcPr>
            <w:tcW w:w="723" w:type="dxa"/>
          </w:tcPr>
          <w:p w14:paraId="11E7058F" w14:textId="77777777" w:rsidR="00AC4246" w:rsidRDefault="00AC4246" w:rsidP="00B016E9">
            <w:pPr>
              <w:jc w:val="both"/>
              <w:rPr>
                <w:rFonts w:ascii="Times New Roman" w:hAnsi="Times New Roman" w:cs="Times New Roman"/>
              </w:rPr>
            </w:pPr>
            <w:proofErr w:type="spellStart"/>
            <w:r w:rsidRPr="00CC0D73">
              <w:rPr>
                <w:rFonts w:ascii="Times New Roman" w:hAnsi="Times New Roman" w:cs="Times New Roman"/>
              </w:rPr>
              <w:t>MnO</w:t>
            </w:r>
            <w:proofErr w:type="spellEnd"/>
          </w:p>
        </w:tc>
        <w:tc>
          <w:tcPr>
            <w:tcW w:w="723" w:type="dxa"/>
          </w:tcPr>
          <w:p w14:paraId="66CCF160" w14:textId="77777777" w:rsidR="00AC4246" w:rsidRDefault="00AC4246" w:rsidP="00B016E9">
            <w:pPr>
              <w:jc w:val="both"/>
              <w:rPr>
                <w:rFonts w:ascii="Times New Roman" w:hAnsi="Times New Roman" w:cs="Times New Roman"/>
              </w:rPr>
            </w:pPr>
            <w:r w:rsidRPr="00CC0D73">
              <w:rPr>
                <w:rFonts w:ascii="Times New Roman" w:hAnsi="Times New Roman" w:cs="Times New Roman"/>
              </w:rPr>
              <w:t>MgO</w:t>
            </w:r>
          </w:p>
        </w:tc>
        <w:tc>
          <w:tcPr>
            <w:tcW w:w="769" w:type="dxa"/>
          </w:tcPr>
          <w:p w14:paraId="5F54D314" w14:textId="77777777" w:rsidR="00AC4246" w:rsidRDefault="00AC4246" w:rsidP="00B016E9">
            <w:pPr>
              <w:jc w:val="both"/>
              <w:rPr>
                <w:rFonts w:ascii="Times New Roman" w:hAnsi="Times New Roman" w:cs="Times New Roman"/>
              </w:rPr>
            </w:pPr>
            <w:proofErr w:type="spellStart"/>
            <w:r w:rsidRPr="00CC0D73">
              <w:rPr>
                <w:rFonts w:ascii="Times New Roman" w:hAnsi="Times New Roman" w:cs="Times New Roman"/>
              </w:rPr>
              <w:t>CaO</w:t>
            </w:r>
            <w:proofErr w:type="spellEnd"/>
          </w:p>
        </w:tc>
        <w:tc>
          <w:tcPr>
            <w:tcW w:w="752" w:type="dxa"/>
          </w:tcPr>
          <w:p w14:paraId="543292FC" w14:textId="77777777" w:rsidR="00AC4246" w:rsidRDefault="00AC4246" w:rsidP="00B016E9">
            <w:pPr>
              <w:jc w:val="both"/>
              <w:rPr>
                <w:rFonts w:ascii="Times New Roman" w:hAnsi="Times New Roman" w:cs="Times New Roman"/>
              </w:rPr>
            </w:pPr>
            <w:r w:rsidRPr="00CC0D73">
              <w:rPr>
                <w:rFonts w:ascii="Times New Roman" w:hAnsi="Times New Roman" w:cs="Times New Roman"/>
              </w:rPr>
              <w:t>Na</w:t>
            </w:r>
            <w:r w:rsidRPr="00CC0D73">
              <w:rPr>
                <w:rFonts w:ascii="Times New Roman" w:hAnsi="Times New Roman" w:cs="Times New Roman"/>
                <w:vertAlign w:val="subscript"/>
              </w:rPr>
              <w:t>2</w:t>
            </w:r>
            <w:r w:rsidRPr="00CC0D73">
              <w:rPr>
                <w:rFonts w:ascii="Times New Roman" w:hAnsi="Times New Roman" w:cs="Times New Roman"/>
              </w:rPr>
              <w:t>O</w:t>
            </w:r>
          </w:p>
        </w:tc>
        <w:tc>
          <w:tcPr>
            <w:tcW w:w="654" w:type="dxa"/>
          </w:tcPr>
          <w:p w14:paraId="333DBCE4" w14:textId="77777777" w:rsidR="00AC4246" w:rsidRDefault="00AC4246" w:rsidP="00B016E9">
            <w:pPr>
              <w:jc w:val="both"/>
              <w:rPr>
                <w:rFonts w:ascii="Times New Roman" w:hAnsi="Times New Roman" w:cs="Times New Roman"/>
              </w:rPr>
            </w:pPr>
            <w:r w:rsidRPr="00CC0D73">
              <w:rPr>
                <w:rFonts w:ascii="Times New Roman" w:hAnsi="Times New Roman" w:cs="Times New Roman"/>
              </w:rPr>
              <w:t>K</w:t>
            </w:r>
            <w:r w:rsidRPr="00CC0D73">
              <w:rPr>
                <w:rFonts w:ascii="Times New Roman" w:hAnsi="Times New Roman" w:cs="Times New Roman"/>
                <w:vertAlign w:val="subscript"/>
              </w:rPr>
              <w:t>2</w:t>
            </w:r>
            <w:r w:rsidRPr="00CC0D73">
              <w:rPr>
                <w:rFonts w:ascii="Times New Roman" w:hAnsi="Times New Roman" w:cs="Times New Roman"/>
              </w:rPr>
              <w:t>O</w:t>
            </w:r>
          </w:p>
        </w:tc>
        <w:tc>
          <w:tcPr>
            <w:tcW w:w="684" w:type="dxa"/>
          </w:tcPr>
          <w:p w14:paraId="62844D85" w14:textId="77777777" w:rsidR="00AC4246" w:rsidRDefault="00AC4246" w:rsidP="00B016E9">
            <w:pPr>
              <w:jc w:val="both"/>
              <w:rPr>
                <w:rFonts w:ascii="Times New Roman" w:hAnsi="Times New Roman" w:cs="Times New Roman"/>
              </w:rPr>
            </w:pPr>
            <w:r w:rsidRPr="00CC0D73">
              <w:rPr>
                <w:rFonts w:ascii="Times New Roman" w:hAnsi="Times New Roman" w:cs="Times New Roman"/>
              </w:rPr>
              <w:t>P</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5</w:t>
            </w:r>
          </w:p>
        </w:tc>
      </w:tr>
      <w:tr w:rsidR="004358B7" w14:paraId="414E8025" w14:textId="77777777" w:rsidTr="00F4448F">
        <w:tc>
          <w:tcPr>
            <w:tcW w:w="1716" w:type="dxa"/>
            <w:tcBorders>
              <w:bottom w:val="nil"/>
            </w:tcBorders>
          </w:tcPr>
          <w:p w14:paraId="4E4DC2BA" w14:textId="77777777" w:rsidR="00AC4246" w:rsidRDefault="00AC4246" w:rsidP="00B016E9">
            <w:pPr>
              <w:jc w:val="both"/>
              <w:rPr>
                <w:rFonts w:ascii="Times New Roman" w:hAnsi="Times New Roman" w:cs="Times New Roman"/>
              </w:rPr>
            </w:pPr>
            <w:r>
              <w:rPr>
                <w:rFonts w:ascii="Times New Roman" w:hAnsi="Times New Roman" w:cs="Times New Roman"/>
              </w:rPr>
              <w:t>Sunset Crater</w:t>
            </w:r>
          </w:p>
        </w:tc>
        <w:tc>
          <w:tcPr>
            <w:tcW w:w="756" w:type="dxa"/>
            <w:tcBorders>
              <w:bottom w:val="nil"/>
            </w:tcBorders>
            <w:vAlign w:val="bottom"/>
          </w:tcPr>
          <w:p w14:paraId="18343E6D"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47.61</w:t>
            </w:r>
          </w:p>
        </w:tc>
        <w:tc>
          <w:tcPr>
            <w:tcW w:w="683" w:type="dxa"/>
            <w:tcBorders>
              <w:bottom w:val="nil"/>
            </w:tcBorders>
            <w:vAlign w:val="bottom"/>
          </w:tcPr>
          <w:p w14:paraId="274BA1CF"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1.80</w:t>
            </w:r>
          </w:p>
        </w:tc>
        <w:tc>
          <w:tcPr>
            <w:tcW w:w="797" w:type="dxa"/>
            <w:tcBorders>
              <w:bottom w:val="nil"/>
            </w:tcBorders>
            <w:vAlign w:val="bottom"/>
          </w:tcPr>
          <w:p w14:paraId="1B8B3D3F"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16.22</w:t>
            </w:r>
          </w:p>
        </w:tc>
        <w:tc>
          <w:tcPr>
            <w:tcW w:w="759" w:type="dxa"/>
            <w:tcBorders>
              <w:bottom w:val="nil"/>
            </w:tcBorders>
            <w:vAlign w:val="bottom"/>
          </w:tcPr>
          <w:p w14:paraId="47B95275"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11.02</w:t>
            </w:r>
          </w:p>
        </w:tc>
        <w:tc>
          <w:tcPr>
            <w:tcW w:w="723" w:type="dxa"/>
            <w:tcBorders>
              <w:bottom w:val="nil"/>
            </w:tcBorders>
            <w:vAlign w:val="bottom"/>
          </w:tcPr>
          <w:p w14:paraId="2B9D31AA"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0.17</w:t>
            </w:r>
          </w:p>
        </w:tc>
        <w:tc>
          <w:tcPr>
            <w:tcW w:w="723" w:type="dxa"/>
            <w:tcBorders>
              <w:bottom w:val="nil"/>
            </w:tcBorders>
            <w:vAlign w:val="bottom"/>
          </w:tcPr>
          <w:p w14:paraId="48871475"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8.66</w:t>
            </w:r>
          </w:p>
        </w:tc>
        <w:tc>
          <w:tcPr>
            <w:tcW w:w="769" w:type="dxa"/>
            <w:tcBorders>
              <w:bottom w:val="nil"/>
            </w:tcBorders>
            <w:vAlign w:val="bottom"/>
          </w:tcPr>
          <w:p w14:paraId="0128B435"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9.84</w:t>
            </w:r>
          </w:p>
        </w:tc>
        <w:tc>
          <w:tcPr>
            <w:tcW w:w="752" w:type="dxa"/>
            <w:tcBorders>
              <w:bottom w:val="nil"/>
            </w:tcBorders>
            <w:vAlign w:val="bottom"/>
          </w:tcPr>
          <w:p w14:paraId="119617B8"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3.43</w:t>
            </w:r>
          </w:p>
        </w:tc>
        <w:tc>
          <w:tcPr>
            <w:tcW w:w="654" w:type="dxa"/>
            <w:tcBorders>
              <w:bottom w:val="nil"/>
            </w:tcBorders>
            <w:vAlign w:val="bottom"/>
          </w:tcPr>
          <w:p w14:paraId="4618A5BE"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0.80</w:t>
            </w:r>
          </w:p>
        </w:tc>
        <w:tc>
          <w:tcPr>
            <w:tcW w:w="684" w:type="dxa"/>
            <w:tcBorders>
              <w:bottom w:val="nil"/>
            </w:tcBorders>
            <w:vAlign w:val="bottom"/>
          </w:tcPr>
          <w:p w14:paraId="3A9B3C55" w14:textId="77777777" w:rsidR="00AC4246" w:rsidRDefault="00AC4246" w:rsidP="00B016E9">
            <w:pPr>
              <w:jc w:val="both"/>
              <w:rPr>
                <w:rFonts w:ascii="Times New Roman" w:hAnsi="Times New Roman" w:cs="Times New Roman"/>
              </w:rPr>
            </w:pPr>
            <w:r w:rsidRPr="00FC51E7">
              <w:rPr>
                <w:rFonts w:ascii="Times New Roman" w:hAnsi="Times New Roman" w:cs="Times New Roman"/>
                <w:color w:val="000000"/>
              </w:rPr>
              <w:t>0.45</w:t>
            </w:r>
          </w:p>
        </w:tc>
      </w:tr>
      <w:tr w:rsidR="004358B7" w14:paraId="7D7737E3" w14:textId="77777777" w:rsidTr="00F4448F">
        <w:tc>
          <w:tcPr>
            <w:tcW w:w="1716" w:type="dxa"/>
            <w:tcBorders>
              <w:top w:val="nil"/>
              <w:bottom w:val="nil"/>
            </w:tcBorders>
          </w:tcPr>
          <w:p w14:paraId="2316DC52" w14:textId="77777777" w:rsidR="00AC4246" w:rsidRDefault="00AC4246" w:rsidP="00B016E9">
            <w:pPr>
              <w:jc w:val="both"/>
              <w:rPr>
                <w:rFonts w:ascii="Times New Roman" w:hAnsi="Times New Roman" w:cs="Times New Roman"/>
              </w:rPr>
            </w:pPr>
            <w:r>
              <w:rPr>
                <w:rFonts w:ascii="Times New Roman" w:hAnsi="Times New Roman" w:cs="Times New Roman"/>
              </w:rPr>
              <w:t>SFVF</w:t>
            </w:r>
          </w:p>
        </w:tc>
        <w:tc>
          <w:tcPr>
            <w:tcW w:w="756" w:type="dxa"/>
            <w:tcBorders>
              <w:top w:val="nil"/>
              <w:bottom w:val="nil"/>
            </w:tcBorders>
            <w:vAlign w:val="bottom"/>
          </w:tcPr>
          <w:p w14:paraId="3F0EEF8F"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52.77</w:t>
            </w:r>
          </w:p>
        </w:tc>
        <w:tc>
          <w:tcPr>
            <w:tcW w:w="683" w:type="dxa"/>
            <w:tcBorders>
              <w:top w:val="nil"/>
              <w:bottom w:val="nil"/>
            </w:tcBorders>
            <w:vAlign w:val="bottom"/>
          </w:tcPr>
          <w:p w14:paraId="3B091C83"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1.18</w:t>
            </w:r>
          </w:p>
        </w:tc>
        <w:tc>
          <w:tcPr>
            <w:tcW w:w="797" w:type="dxa"/>
            <w:tcBorders>
              <w:top w:val="nil"/>
              <w:bottom w:val="nil"/>
            </w:tcBorders>
            <w:vAlign w:val="bottom"/>
          </w:tcPr>
          <w:p w14:paraId="6797A614"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17.28</w:t>
            </w:r>
          </w:p>
        </w:tc>
        <w:tc>
          <w:tcPr>
            <w:tcW w:w="759" w:type="dxa"/>
            <w:tcBorders>
              <w:top w:val="nil"/>
              <w:bottom w:val="nil"/>
            </w:tcBorders>
            <w:vAlign w:val="bottom"/>
          </w:tcPr>
          <w:p w14:paraId="3FCB3AF6"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7.88</w:t>
            </w:r>
          </w:p>
        </w:tc>
        <w:tc>
          <w:tcPr>
            <w:tcW w:w="723" w:type="dxa"/>
            <w:tcBorders>
              <w:top w:val="nil"/>
              <w:bottom w:val="nil"/>
            </w:tcBorders>
            <w:vAlign w:val="bottom"/>
          </w:tcPr>
          <w:p w14:paraId="72A1C635"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0.19</w:t>
            </w:r>
          </w:p>
        </w:tc>
        <w:tc>
          <w:tcPr>
            <w:tcW w:w="723" w:type="dxa"/>
            <w:tcBorders>
              <w:top w:val="nil"/>
              <w:bottom w:val="nil"/>
            </w:tcBorders>
            <w:vAlign w:val="bottom"/>
          </w:tcPr>
          <w:p w14:paraId="433DCD19"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5.86</w:t>
            </w:r>
          </w:p>
        </w:tc>
        <w:tc>
          <w:tcPr>
            <w:tcW w:w="769" w:type="dxa"/>
            <w:tcBorders>
              <w:top w:val="nil"/>
              <w:bottom w:val="nil"/>
            </w:tcBorders>
            <w:vAlign w:val="bottom"/>
          </w:tcPr>
          <w:p w14:paraId="34F21D03"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9.19</w:t>
            </w:r>
          </w:p>
        </w:tc>
        <w:tc>
          <w:tcPr>
            <w:tcW w:w="752" w:type="dxa"/>
            <w:tcBorders>
              <w:top w:val="nil"/>
              <w:bottom w:val="nil"/>
            </w:tcBorders>
            <w:vAlign w:val="bottom"/>
          </w:tcPr>
          <w:p w14:paraId="474FC944"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3.39</w:t>
            </w:r>
          </w:p>
        </w:tc>
        <w:tc>
          <w:tcPr>
            <w:tcW w:w="654" w:type="dxa"/>
            <w:tcBorders>
              <w:top w:val="nil"/>
              <w:bottom w:val="nil"/>
            </w:tcBorders>
            <w:vAlign w:val="bottom"/>
          </w:tcPr>
          <w:p w14:paraId="5AE912FD"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1.50</w:t>
            </w:r>
          </w:p>
        </w:tc>
        <w:tc>
          <w:tcPr>
            <w:tcW w:w="684" w:type="dxa"/>
            <w:tcBorders>
              <w:top w:val="nil"/>
              <w:bottom w:val="nil"/>
            </w:tcBorders>
            <w:vAlign w:val="bottom"/>
          </w:tcPr>
          <w:p w14:paraId="3A8A5338" w14:textId="77777777" w:rsidR="00AC4246" w:rsidRDefault="00AC4246" w:rsidP="00B016E9">
            <w:pPr>
              <w:jc w:val="both"/>
              <w:rPr>
                <w:rFonts w:ascii="Times New Roman" w:hAnsi="Times New Roman" w:cs="Times New Roman"/>
              </w:rPr>
            </w:pPr>
            <w:r w:rsidRPr="00FC51E7">
              <w:rPr>
                <w:rFonts w:ascii="Times New Roman" w:hAnsi="Times New Roman" w:cs="Times New Roman"/>
                <w:color w:val="000000"/>
              </w:rPr>
              <w:t>0.76</w:t>
            </w:r>
          </w:p>
        </w:tc>
      </w:tr>
      <w:tr w:rsidR="004358B7" w14:paraId="7B8B2B5E" w14:textId="77777777" w:rsidTr="00F4448F">
        <w:tc>
          <w:tcPr>
            <w:tcW w:w="1716" w:type="dxa"/>
            <w:tcBorders>
              <w:top w:val="nil"/>
              <w:bottom w:val="nil"/>
            </w:tcBorders>
          </w:tcPr>
          <w:p w14:paraId="1C268AA5" w14:textId="77777777" w:rsidR="00AC4246" w:rsidRDefault="00AC4246" w:rsidP="00B016E9">
            <w:pPr>
              <w:jc w:val="both"/>
              <w:rPr>
                <w:rFonts w:ascii="Times New Roman" w:hAnsi="Times New Roman" w:cs="Times New Roman"/>
              </w:rPr>
            </w:pPr>
            <w:r>
              <w:rPr>
                <w:rFonts w:ascii="Times New Roman" w:hAnsi="Times New Roman" w:cs="Times New Roman"/>
              </w:rPr>
              <w:t>Erebus</w:t>
            </w:r>
          </w:p>
        </w:tc>
        <w:tc>
          <w:tcPr>
            <w:tcW w:w="756" w:type="dxa"/>
            <w:tcBorders>
              <w:top w:val="nil"/>
              <w:bottom w:val="nil"/>
            </w:tcBorders>
            <w:vAlign w:val="bottom"/>
          </w:tcPr>
          <w:p w14:paraId="0DA19F28" w14:textId="77777777" w:rsidR="00AC4246" w:rsidRPr="008B4A1C" w:rsidRDefault="00AC4246" w:rsidP="00B016E9">
            <w:pPr>
              <w:jc w:val="right"/>
              <w:rPr>
                <w:rFonts w:ascii="Times New Roman" w:hAnsi="Times New Roman" w:cs="Times New Roman"/>
              </w:rPr>
            </w:pPr>
            <w:r w:rsidRPr="00FC51E7">
              <w:rPr>
                <w:rFonts w:ascii="Times New Roman" w:hAnsi="Times New Roman" w:cs="Times New Roman"/>
                <w:color w:val="000000"/>
              </w:rPr>
              <w:t>47.49</w:t>
            </w:r>
          </w:p>
        </w:tc>
        <w:tc>
          <w:tcPr>
            <w:tcW w:w="683" w:type="dxa"/>
            <w:tcBorders>
              <w:top w:val="nil"/>
              <w:bottom w:val="nil"/>
            </w:tcBorders>
            <w:vAlign w:val="bottom"/>
          </w:tcPr>
          <w:p w14:paraId="0C637263"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2.79</w:t>
            </w:r>
          </w:p>
        </w:tc>
        <w:tc>
          <w:tcPr>
            <w:tcW w:w="797" w:type="dxa"/>
            <w:tcBorders>
              <w:top w:val="nil"/>
              <w:bottom w:val="nil"/>
            </w:tcBorders>
            <w:vAlign w:val="bottom"/>
          </w:tcPr>
          <w:p w14:paraId="5E2803EC"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18.83</w:t>
            </w:r>
          </w:p>
        </w:tc>
        <w:tc>
          <w:tcPr>
            <w:tcW w:w="759" w:type="dxa"/>
            <w:tcBorders>
              <w:top w:val="nil"/>
              <w:bottom w:val="nil"/>
            </w:tcBorders>
            <w:vAlign w:val="bottom"/>
          </w:tcPr>
          <w:p w14:paraId="402B6B45"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10.36</w:t>
            </w:r>
          </w:p>
        </w:tc>
        <w:tc>
          <w:tcPr>
            <w:tcW w:w="723" w:type="dxa"/>
            <w:tcBorders>
              <w:top w:val="nil"/>
              <w:bottom w:val="nil"/>
            </w:tcBorders>
            <w:vAlign w:val="bottom"/>
          </w:tcPr>
          <w:p w14:paraId="5CBF1D8A"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0.29</w:t>
            </w:r>
          </w:p>
        </w:tc>
        <w:tc>
          <w:tcPr>
            <w:tcW w:w="723" w:type="dxa"/>
            <w:tcBorders>
              <w:top w:val="nil"/>
              <w:bottom w:val="nil"/>
            </w:tcBorders>
            <w:vAlign w:val="bottom"/>
          </w:tcPr>
          <w:p w14:paraId="2ADD316B"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3.31</w:t>
            </w:r>
          </w:p>
        </w:tc>
        <w:tc>
          <w:tcPr>
            <w:tcW w:w="769" w:type="dxa"/>
            <w:tcBorders>
              <w:top w:val="nil"/>
              <w:bottom w:val="nil"/>
            </w:tcBorders>
            <w:vAlign w:val="bottom"/>
          </w:tcPr>
          <w:p w14:paraId="02BD9A23"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6.95</w:t>
            </w:r>
          </w:p>
        </w:tc>
        <w:tc>
          <w:tcPr>
            <w:tcW w:w="752" w:type="dxa"/>
            <w:tcBorders>
              <w:top w:val="nil"/>
              <w:bottom w:val="nil"/>
            </w:tcBorders>
            <w:vAlign w:val="bottom"/>
          </w:tcPr>
          <w:p w14:paraId="3ECED009"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6.03</w:t>
            </w:r>
          </w:p>
        </w:tc>
        <w:tc>
          <w:tcPr>
            <w:tcW w:w="654" w:type="dxa"/>
            <w:tcBorders>
              <w:top w:val="nil"/>
              <w:bottom w:val="nil"/>
            </w:tcBorders>
            <w:vAlign w:val="bottom"/>
          </w:tcPr>
          <w:p w14:paraId="1F0FC044"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2.78</w:t>
            </w:r>
          </w:p>
        </w:tc>
        <w:tc>
          <w:tcPr>
            <w:tcW w:w="684" w:type="dxa"/>
            <w:tcBorders>
              <w:top w:val="nil"/>
              <w:bottom w:val="nil"/>
            </w:tcBorders>
            <w:vAlign w:val="bottom"/>
          </w:tcPr>
          <w:p w14:paraId="3A4FB6C3" w14:textId="77777777" w:rsidR="00AC4246" w:rsidRDefault="00AC4246" w:rsidP="00B016E9">
            <w:pPr>
              <w:jc w:val="both"/>
              <w:rPr>
                <w:rFonts w:ascii="Times New Roman" w:hAnsi="Times New Roman" w:cs="Times New Roman"/>
              </w:rPr>
            </w:pPr>
            <w:r w:rsidRPr="001378E6">
              <w:rPr>
                <w:rFonts w:ascii="Times New Roman" w:hAnsi="Times New Roman" w:cs="Times New Roman"/>
                <w:color w:val="000000"/>
              </w:rPr>
              <w:t>1.17</w:t>
            </w:r>
          </w:p>
        </w:tc>
      </w:tr>
      <w:tr w:rsidR="004358B7" w14:paraId="72ECC236" w14:textId="77777777" w:rsidTr="00F4448F">
        <w:tc>
          <w:tcPr>
            <w:tcW w:w="1716" w:type="dxa"/>
            <w:tcBorders>
              <w:top w:val="nil"/>
              <w:bottom w:val="nil"/>
            </w:tcBorders>
          </w:tcPr>
          <w:p w14:paraId="231AFFE1" w14:textId="77777777" w:rsidR="00AC4246" w:rsidRDefault="00AC4246" w:rsidP="00B016E9">
            <w:pPr>
              <w:jc w:val="both"/>
              <w:rPr>
                <w:rFonts w:ascii="Times New Roman" w:hAnsi="Times New Roman" w:cs="Times New Roman"/>
              </w:rPr>
            </w:pPr>
            <w:r>
              <w:rPr>
                <w:rFonts w:ascii="Times New Roman" w:hAnsi="Times New Roman" w:cs="Times New Roman"/>
              </w:rPr>
              <w:t>Vesuvius</w:t>
            </w:r>
          </w:p>
        </w:tc>
        <w:tc>
          <w:tcPr>
            <w:tcW w:w="756" w:type="dxa"/>
            <w:tcBorders>
              <w:top w:val="nil"/>
              <w:bottom w:val="nil"/>
            </w:tcBorders>
            <w:vAlign w:val="bottom"/>
          </w:tcPr>
          <w:p w14:paraId="5DD712C8"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48.69</w:t>
            </w:r>
          </w:p>
        </w:tc>
        <w:tc>
          <w:tcPr>
            <w:tcW w:w="683" w:type="dxa"/>
            <w:tcBorders>
              <w:top w:val="nil"/>
              <w:bottom w:val="nil"/>
            </w:tcBorders>
            <w:vAlign w:val="bottom"/>
          </w:tcPr>
          <w:p w14:paraId="1EF87DC4"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0.98</w:t>
            </w:r>
          </w:p>
        </w:tc>
        <w:tc>
          <w:tcPr>
            <w:tcW w:w="797" w:type="dxa"/>
            <w:tcBorders>
              <w:top w:val="nil"/>
              <w:bottom w:val="nil"/>
            </w:tcBorders>
            <w:vAlign w:val="bottom"/>
          </w:tcPr>
          <w:p w14:paraId="3DFD8C63"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15.26</w:t>
            </w:r>
          </w:p>
        </w:tc>
        <w:tc>
          <w:tcPr>
            <w:tcW w:w="759" w:type="dxa"/>
            <w:tcBorders>
              <w:top w:val="nil"/>
              <w:bottom w:val="nil"/>
            </w:tcBorders>
            <w:vAlign w:val="bottom"/>
          </w:tcPr>
          <w:p w14:paraId="42FF970B"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8.15</w:t>
            </w:r>
          </w:p>
        </w:tc>
        <w:tc>
          <w:tcPr>
            <w:tcW w:w="723" w:type="dxa"/>
            <w:tcBorders>
              <w:top w:val="nil"/>
              <w:bottom w:val="nil"/>
            </w:tcBorders>
            <w:vAlign w:val="bottom"/>
          </w:tcPr>
          <w:p w14:paraId="62525C1B"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0.23</w:t>
            </w:r>
          </w:p>
        </w:tc>
        <w:tc>
          <w:tcPr>
            <w:tcW w:w="723" w:type="dxa"/>
            <w:tcBorders>
              <w:top w:val="nil"/>
              <w:bottom w:val="nil"/>
            </w:tcBorders>
            <w:vAlign w:val="bottom"/>
          </w:tcPr>
          <w:p w14:paraId="0CA47338"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6.68</w:t>
            </w:r>
          </w:p>
        </w:tc>
        <w:tc>
          <w:tcPr>
            <w:tcW w:w="769" w:type="dxa"/>
            <w:tcBorders>
              <w:top w:val="nil"/>
              <w:bottom w:val="nil"/>
            </w:tcBorders>
            <w:vAlign w:val="bottom"/>
          </w:tcPr>
          <w:p w14:paraId="1BE4E50B"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11.60</w:t>
            </w:r>
          </w:p>
        </w:tc>
        <w:tc>
          <w:tcPr>
            <w:tcW w:w="752" w:type="dxa"/>
            <w:tcBorders>
              <w:top w:val="nil"/>
              <w:bottom w:val="nil"/>
            </w:tcBorders>
            <w:vAlign w:val="bottom"/>
          </w:tcPr>
          <w:p w14:paraId="3733853A"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1.93</w:t>
            </w:r>
          </w:p>
        </w:tc>
        <w:tc>
          <w:tcPr>
            <w:tcW w:w="654" w:type="dxa"/>
            <w:tcBorders>
              <w:top w:val="nil"/>
              <w:bottom w:val="nil"/>
            </w:tcBorders>
            <w:vAlign w:val="bottom"/>
          </w:tcPr>
          <w:p w14:paraId="4E8ADEAE"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5.86</w:t>
            </w:r>
          </w:p>
        </w:tc>
        <w:tc>
          <w:tcPr>
            <w:tcW w:w="684" w:type="dxa"/>
            <w:tcBorders>
              <w:top w:val="nil"/>
              <w:bottom w:val="nil"/>
            </w:tcBorders>
            <w:vAlign w:val="bottom"/>
          </w:tcPr>
          <w:p w14:paraId="408DA688" w14:textId="77777777" w:rsidR="00AC4246" w:rsidRDefault="00AC4246" w:rsidP="00B016E9">
            <w:pPr>
              <w:jc w:val="both"/>
              <w:rPr>
                <w:rFonts w:ascii="Times New Roman" w:hAnsi="Times New Roman" w:cs="Times New Roman"/>
              </w:rPr>
            </w:pPr>
            <w:r w:rsidRPr="00931995">
              <w:rPr>
                <w:rFonts w:ascii="Times New Roman" w:hAnsi="Times New Roman" w:cs="Times New Roman"/>
                <w:color w:val="000000"/>
              </w:rPr>
              <w:t>0.62</w:t>
            </w:r>
          </w:p>
        </w:tc>
      </w:tr>
      <w:tr w:rsidR="004358B7" w14:paraId="7DA434CB" w14:textId="77777777" w:rsidTr="00F4448F">
        <w:tc>
          <w:tcPr>
            <w:tcW w:w="1716" w:type="dxa"/>
            <w:tcBorders>
              <w:top w:val="nil"/>
              <w:bottom w:val="nil"/>
            </w:tcBorders>
          </w:tcPr>
          <w:p w14:paraId="01C426A8" w14:textId="77777777" w:rsidR="00AC4246" w:rsidRDefault="00AC4246" w:rsidP="00B016E9">
            <w:pPr>
              <w:jc w:val="both"/>
              <w:rPr>
                <w:rFonts w:ascii="Times New Roman" w:hAnsi="Times New Roman" w:cs="Times New Roman"/>
              </w:rPr>
            </w:pPr>
            <w:r>
              <w:rPr>
                <w:rFonts w:ascii="Times New Roman" w:hAnsi="Times New Roman" w:cs="Times New Roman"/>
              </w:rPr>
              <w:t>Etna</w:t>
            </w:r>
          </w:p>
        </w:tc>
        <w:tc>
          <w:tcPr>
            <w:tcW w:w="756" w:type="dxa"/>
            <w:tcBorders>
              <w:top w:val="nil"/>
              <w:bottom w:val="nil"/>
            </w:tcBorders>
            <w:vAlign w:val="bottom"/>
          </w:tcPr>
          <w:p w14:paraId="5D0BB792" w14:textId="77777777" w:rsidR="00AC4246" w:rsidRPr="008B4A1C" w:rsidRDefault="00AC4246" w:rsidP="00B016E9">
            <w:pPr>
              <w:jc w:val="right"/>
              <w:rPr>
                <w:rFonts w:ascii="Times New Roman" w:hAnsi="Times New Roman" w:cs="Times New Roman"/>
              </w:rPr>
            </w:pPr>
            <w:r w:rsidRPr="00931995">
              <w:rPr>
                <w:rFonts w:ascii="Times New Roman" w:hAnsi="Times New Roman" w:cs="Times New Roman"/>
                <w:color w:val="000000"/>
              </w:rPr>
              <w:t>47.46</w:t>
            </w:r>
          </w:p>
        </w:tc>
        <w:tc>
          <w:tcPr>
            <w:tcW w:w="683" w:type="dxa"/>
            <w:tcBorders>
              <w:top w:val="nil"/>
              <w:bottom w:val="nil"/>
            </w:tcBorders>
            <w:vAlign w:val="bottom"/>
          </w:tcPr>
          <w:p w14:paraId="258E534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1.81</w:t>
            </w:r>
          </w:p>
        </w:tc>
        <w:tc>
          <w:tcPr>
            <w:tcW w:w="797" w:type="dxa"/>
            <w:tcBorders>
              <w:top w:val="nil"/>
              <w:bottom w:val="nil"/>
            </w:tcBorders>
            <w:vAlign w:val="bottom"/>
          </w:tcPr>
          <w:p w14:paraId="601CAEB7"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16.17</w:t>
            </w:r>
          </w:p>
        </w:tc>
        <w:tc>
          <w:tcPr>
            <w:tcW w:w="759" w:type="dxa"/>
            <w:tcBorders>
              <w:top w:val="nil"/>
              <w:bottom w:val="nil"/>
            </w:tcBorders>
            <w:vAlign w:val="bottom"/>
          </w:tcPr>
          <w:p w14:paraId="476794F9"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10.47</w:t>
            </w:r>
          </w:p>
        </w:tc>
        <w:tc>
          <w:tcPr>
            <w:tcW w:w="723" w:type="dxa"/>
            <w:tcBorders>
              <w:top w:val="nil"/>
              <w:bottom w:val="nil"/>
            </w:tcBorders>
            <w:vAlign w:val="bottom"/>
          </w:tcPr>
          <w:p w14:paraId="6BCADCE9"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0.20</w:t>
            </w:r>
          </w:p>
        </w:tc>
        <w:tc>
          <w:tcPr>
            <w:tcW w:w="723" w:type="dxa"/>
            <w:tcBorders>
              <w:top w:val="nil"/>
              <w:bottom w:val="nil"/>
            </w:tcBorders>
            <w:vAlign w:val="bottom"/>
          </w:tcPr>
          <w:p w14:paraId="6089C948"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6.74</w:t>
            </w:r>
          </w:p>
        </w:tc>
        <w:tc>
          <w:tcPr>
            <w:tcW w:w="769" w:type="dxa"/>
            <w:tcBorders>
              <w:top w:val="nil"/>
              <w:bottom w:val="nil"/>
            </w:tcBorders>
            <w:vAlign w:val="bottom"/>
          </w:tcPr>
          <w:p w14:paraId="20FBCC10" w14:textId="77777777" w:rsidR="00AC4246" w:rsidRPr="008B4A1C" w:rsidRDefault="00AC4246" w:rsidP="00B016E9">
            <w:pPr>
              <w:jc w:val="right"/>
              <w:rPr>
                <w:rFonts w:ascii="Times New Roman" w:hAnsi="Times New Roman" w:cs="Times New Roman"/>
              </w:rPr>
            </w:pPr>
            <w:r w:rsidRPr="001378E6">
              <w:rPr>
                <w:rFonts w:ascii="Times New Roman" w:hAnsi="Times New Roman" w:cs="Times New Roman"/>
                <w:color w:val="000000"/>
              </w:rPr>
              <w:t>11.42</w:t>
            </w:r>
          </w:p>
        </w:tc>
        <w:tc>
          <w:tcPr>
            <w:tcW w:w="752" w:type="dxa"/>
            <w:tcBorders>
              <w:top w:val="nil"/>
              <w:bottom w:val="nil"/>
            </w:tcBorders>
            <w:vAlign w:val="bottom"/>
          </w:tcPr>
          <w:p w14:paraId="76D053C8"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3.48</w:t>
            </w:r>
          </w:p>
        </w:tc>
        <w:tc>
          <w:tcPr>
            <w:tcW w:w="654" w:type="dxa"/>
            <w:tcBorders>
              <w:top w:val="nil"/>
              <w:bottom w:val="nil"/>
            </w:tcBorders>
            <w:vAlign w:val="bottom"/>
          </w:tcPr>
          <w:p w14:paraId="312B14EC"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1.72</w:t>
            </w:r>
          </w:p>
        </w:tc>
        <w:tc>
          <w:tcPr>
            <w:tcW w:w="684" w:type="dxa"/>
            <w:tcBorders>
              <w:top w:val="nil"/>
              <w:bottom w:val="nil"/>
            </w:tcBorders>
            <w:vAlign w:val="bottom"/>
          </w:tcPr>
          <w:p w14:paraId="5CCE5F8C"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0.52</w:t>
            </w:r>
          </w:p>
        </w:tc>
      </w:tr>
      <w:tr w:rsidR="004358B7" w14:paraId="4C721C8A" w14:textId="77777777" w:rsidTr="00F4448F">
        <w:tc>
          <w:tcPr>
            <w:tcW w:w="1716" w:type="dxa"/>
            <w:tcBorders>
              <w:top w:val="nil"/>
              <w:bottom w:val="nil"/>
            </w:tcBorders>
          </w:tcPr>
          <w:p w14:paraId="1BFD6730" w14:textId="77777777" w:rsidR="00AC4246" w:rsidRDefault="00AC4246" w:rsidP="00B016E9">
            <w:pPr>
              <w:jc w:val="both"/>
              <w:rPr>
                <w:rFonts w:ascii="Times New Roman" w:hAnsi="Times New Roman" w:cs="Times New Roman"/>
              </w:rPr>
            </w:pPr>
            <w:r>
              <w:rPr>
                <w:rFonts w:ascii="Times New Roman" w:hAnsi="Times New Roman" w:cs="Times New Roman"/>
              </w:rPr>
              <w:t>Stromboli</w:t>
            </w:r>
          </w:p>
        </w:tc>
        <w:tc>
          <w:tcPr>
            <w:tcW w:w="756" w:type="dxa"/>
            <w:tcBorders>
              <w:top w:val="nil"/>
              <w:bottom w:val="nil"/>
            </w:tcBorders>
            <w:vAlign w:val="bottom"/>
          </w:tcPr>
          <w:p w14:paraId="636C51B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48.85</w:t>
            </w:r>
          </w:p>
        </w:tc>
        <w:tc>
          <w:tcPr>
            <w:tcW w:w="683" w:type="dxa"/>
            <w:tcBorders>
              <w:top w:val="nil"/>
              <w:bottom w:val="nil"/>
            </w:tcBorders>
            <w:vAlign w:val="bottom"/>
          </w:tcPr>
          <w:p w14:paraId="4D879293"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0.83</w:t>
            </w:r>
          </w:p>
        </w:tc>
        <w:tc>
          <w:tcPr>
            <w:tcW w:w="797" w:type="dxa"/>
            <w:tcBorders>
              <w:top w:val="nil"/>
              <w:bottom w:val="nil"/>
            </w:tcBorders>
            <w:vAlign w:val="bottom"/>
          </w:tcPr>
          <w:p w14:paraId="650EFAF9"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16.83</w:t>
            </w:r>
          </w:p>
        </w:tc>
        <w:tc>
          <w:tcPr>
            <w:tcW w:w="759" w:type="dxa"/>
            <w:tcBorders>
              <w:top w:val="nil"/>
              <w:bottom w:val="nil"/>
            </w:tcBorders>
            <w:vAlign w:val="bottom"/>
          </w:tcPr>
          <w:p w14:paraId="0ABF200A"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8.15</w:t>
            </w:r>
          </w:p>
        </w:tc>
        <w:tc>
          <w:tcPr>
            <w:tcW w:w="723" w:type="dxa"/>
            <w:tcBorders>
              <w:top w:val="nil"/>
              <w:bottom w:val="nil"/>
            </w:tcBorders>
            <w:vAlign w:val="bottom"/>
          </w:tcPr>
          <w:p w14:paraId="613CE397"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0.20</w:t>
            </w:r>
          </w:p>
        </w:tc>
        <w:tc>
          <w:tcPr>
            <w:tcW w:w="723" w:type="dxa"/>
            <w:tcBorders>
              <w:top w:val="nil"/>
              <w:bottom w:val="nil"/>
            </w:tcBorders>
            <w:vAlign w:val="bottom"/>
          </w:tcPr>
          <w:p w14:paraId="77F40E6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7.81</w:t>
            </w:r>
          </w:p>
        </w:tc>
        <w:tc>
          <w:tcPr>
            <w:tcW w:w="769" w:type="dxa"/>
            <w:tcBorders>
              <w:top w:val="nil"/>
              <w:bottom w:val="nil"/>
            </w:tcBorders>
            <w:vAlign w:val="bottom"/>
          </w:tcPr>
          <w:p w14:paraId="68D8F9C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12.45</w:t>
            </w:r>
          </w:p>
        </w:tc>
        <w:tc>
          <w:tcPr>
            <w:tcW w:w="752" w:type="dxa"/>
            <w:tcBorders>
              <w:top w:val="nil"/>
              <w:bottom w:val="nil"/>
            </w:tcBorders>
            <w:vAlign w:val="bottom"/>
          </w:tcPr>
          <w:p w14:paraId="66F427D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2.46</w:t>
            </w:r>
          </w:p>
        </w:tc>
        <w:tc>
          <w:tcPr>
            <w:tcW w:w="654" w:type="dxa"/>
            <w:tcBorders>
              <w:top w:val="nil"/>
              <w:bottom w:val="nil"/>
            </w:tcBorders>
            <w:vAlign w:val="bottom"/>
          </w:tcPr>
          <w:p w14:paraId="3FA8E19B"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1.99</w:t>
            </w:r>
          </w:p>
        </w:tc>
        <w:tc>
          <w:tcPr>
            <w:tcW w:w="684" w:type="dxa"/>
            <w:tcBorders>
              <w:top w:val="nil"/>
              <w:bottom w:val="nil"/>
            </w:tcBorders>
            <w:vAlign w:val="bottom"/>
          </w:tcPr>
          <w:p w14:paraId="4CE3DF3C"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0.43</w:t>
            </w:r>
          </w:p>
        </w:tc>
      </w:tr>
      <w:tr w:rsidR="004358B7" w14:paraId="3F569C7D" w14:textId="77777777" w:rsidTr="00F4448F">
        <w:tc>
          <w:tcPr>
            <w:tcW w:w="1716" w:type="dxa"/>
            <w:tcBorders>
              <w:top w:val="nil"/>
              <w:bottom w:val="nil"/>
            </w:tcBorders>
          </w:tcPr>
          <w:p w14:paraId="2B2C9528" w14:textId="77777777" w:rsidR="00AC4246" w:rsidRDefault="00AC4246" w:rsidP="00B016E9">
            <w:pPr>
              <w:jc w:val="both"/>
              <w:rPr>
                <w:rFonts w:ascii="Times New Roman" w:hAnsi="Times New Roman" w:cs="Times New Roman"/>
              </w:rPr>
            </w:pPr>
            <w:r>
              <w:rPr>
                <w:rFonts w:ascii="Times New Roman" w:hAnsi="Times New Roman" w:cs="Times New Roman"/>
              </w:rPr>
              <w:t>Basanite</w:t>
            </w:r>
          </w:p>
        </w:tc>
        <w:tc>
          <w:tcPr>
            <w:tcW w:w="756" w:type="dxa"/>
            <w:tcBorders>
              <w:top w:val="nil"/>
              <w:bottom w:val="nil"/>
            </w:tcBorders>
            <w:vAlign w:val="bottom"/>
          </w:tcPr>
          <w:p w14:paraId="6862E77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46.20</w:t>
            </w:r>
          </w:p>
        </w:tc>
        <w:tc>
          <w:tcPr>
            <w:tcW w:w="683" w:type="dxa"/>
            <w:tcBorders>
              <w:top w:val="nil"/>
              <w:bottom w:val="nil"/>
            </w:tcBorders>
            <w:vAlign w:val="bottom"/>
          </w:tcPr>
          <w:p w14:paraId="35568218"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3.18</w:t>
            </w:r>
          </w:p>
        </w:tc>
        <w:tc>
          <w:tcPr>
            <w:tcW w:w="797" w:type="dxa"/>
            <w:tcBorders>
              <w:top w:val="nil"/>
              <w:bottom w:val="nil"/>
            </w:tcBorders>
            <w:vAlign w:val="bottom"/>
          </w:tcPr>
          <w:p w14:paraId="52C99F98"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15.27</w:t>
            </w:r>
          </w:p>
        </w:tc>
        <w:tc>
          <w:tcPr>
            <w:tcW w:w="759" w:type="dxa"/>
            <w:tcBorders>
              <w:top w:val="nil"/>
              <w:bottom w:val="nil"/>
            </w:tcBorders>
            <w:vAlign w:val="bottom"/>
          </w:tcPr>
          <w:p w14:paraId="1BFC71F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12.05</w:t>
            </w:r>
          </w:p>
        </w:tc>
        <w:tc>
          <w:tcPr>
            <w:tcW w:w="723" w:type="dxa"/>
            <w:tcBorders>
              <w:top w:val="nil"/>
              <w:bottom w:val="nil"/>
            </w:tcBorders>
            <w:vAlign w:val="bottom"/>
          </w:tcPr>
          <w:p w14:paraId="3EAE0D1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0.00</w:t>
            </w:r>
          </w:p>
        </w:tc>
        <w:tc>
          <w:tcPr>
            <w:tcW w:w="723" w:type="dxa"/>
            <w:tcBorders>
              <w:top w:val="nil"/>
              <w:bottom w:val="nil"/>
            </w:tcBorders>
            <w:vAlign w:val="bottom"/>
          </w:tcPr>
          <w:p w14:paraId="36381F5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9.10</w:t>
            </w:r>
          </w:p>
        </w:tc>
        <w:tc>
          <w:tcPr>
            <w:tcW w:w="769" w:type="dxa"/>
            <w:tcBorders>
              <w:top w:val="nil"/>
              <w:bottom w:val="nil"/>
            </w:tcBorders>
            <w:vAlign w:val="bottom"/>
          </w:tcPr>
          <w:p w14:paraId="22162D9C"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8.26</w:t>
            </w:r>
          </w:p>
        </w:tc>
        <w:tc>
          <w:tcPr>
            <w:tcW w:w="752" w:type="dxa"/>
            <w:tcBorders>
              <w:top w:val="nil"/>
              <w:bottom w:val="nil"/>
            </w:tcBorders>
            <w:vAlign w:val="bottom"/>
          </w:tcPr>
          <w:p w14:paraId="47E0829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4.35</w:t>
            </w:r>
          </w:p>
        </w:tc>
        <w:tc>
          <w:tcPr>
            <w:tcW w:w="654" w:type="dxa"/>
            <w:tcBorders>
              <w:top w:val="nil"/>
              <w:bottom w:val="nil"/>
            </w:tcBorders>
            <w:vAlign w:val="bottom"/>
          </w:tcPr>
          <w:p w14:paraId="0AFE377E"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1.33</w:t>
            </w:r>
          </w:p>
        </w:tc>
        <w:tc>
          <w:tcPr>
            <w:tcW w:w="684" w:type="dxa"/>
            <w:tcBorders>
              <w:top w:val="nil"/>
              <w:bottom w:val="nil"/>
            </w:tcBorders>
            <w:vAlign w:val="bottom"/>
          </w:tcPr>
          <w:p w14:paraId="55A39A70"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0.27</w:t>
            </w:r>
          </w:p>
        </w:tc>
      </w:tr>
      <w:tr w:rsidR="004358B7" w14:paraId="6129657A" w14:textId="77777777" w:rsidTr="00F4448F">
        <w:tc>
          <w:tcPr>
            <w:tcW w:w="1716" w:type="dxa"/>
            <w:tcBorders>
              <w:top w:val="nil"/>
              <w:bottom w:val="nil"/>
            </w:tcBorders>
          </w:tcPr>
          <w:p w14:paraId="49E85041" w14:textId="77777777" w:rsidR="00AC4246" w:rsidRDefault="00AC4246" w:rsidP="00B016E9">
            <w:pPr>
              <w:jc w:val="both"/>
              <w:rPr>
                <w:rFonts w:ascii="Times New Roman" w:hAnsi="Times New Roman" w:cs="Times New Roman"/>
              </w:rPr>
            </w:pPr>
            <w:r>
              <w:rPr>
                <w:rFonts w:ascii="Times New Roman" w:hAnsi="Times New Roman" w:cs="Times New Roman"/>
              </w:rPr>
              <w:t>Leucite</w:t>
            </w:r>
          </w:p>
        </w:tc>
        <w:tc>
          <w:tcPr>
            <w:tcW w:w="756" w:type="dxa"/>
            <w:tcBorders>
              <w:top w:val="nil"/>
              <w:bottom w:val="nil"/>
            </w:tcBorders>
            <w:vAlign w:val="bottom"/>
          </w:tcPr>
          <w:p w14:paraId="705BA86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44.33</w:t>
            </w:r>
          </w:p>
        </w:tc>
        <w:tc>
          <w:tcPr>
            <w:tcW w:w="683" w:type="dxa"/>
            <w:tcBorders>
              <w:top w:val="nil"/>
              <w:bottom w:val="nil"/>
            </w:tcBorders>
            <w:vAlign w:val="bottom"/>
          </w:tcPr>
          <w:p w14:paraId="07594B85"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2.70</w:t>
            </w:r>
          </w:p>
        </w:tc>
        <w:tc>
          <w:tcPr>
            <w:tcW w:w="797" w:type="dxa"/>
            <w:tcBorders>
              <w:top w:val="nil"/>
              <w:bottom w:val="nil"/>
            </w:tcBorders>
            <w:vAlign w:val="bottom"/>
          </w:tcPr>
          <w:p w14:paraId="07B2F2C7"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12.87</w:t>
            </w:r>
          </w:p>
        </w:tc>
        <w:tc>
          <w:tcPr>
            <w:tcW w:w="759" w:type="dxa"/>
            <w:tcBorders>
              <w:top w:val="nil"/>
              <w:bottom w:val="nil"/>
            </w:tcBorders>
            <w:vAlign w:val="bottom"/>
          </w:tcPr>
          <w:p w14:paraId="77187E60"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9.09</w:t>
            </w:r>
          </w:p>
        </w:tc>
        <w:tc>
          <w:tcPr>
            <w:tcW w:w="723" w:type="dxa"/>
            <w:tcBorders>
              <w:top w:val="nil"/>
              <w:bottom w:val="nil"/>
            </w:tcBorders>
            <w:vAlign w:val="bottom"/>
          </w:tcPr>
          <w:p w14:paraId="01B5310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0.00</w:t>
            </w:r>
          </w:p>
        </w:tc>
        <w:tc>
          <w:tcPr>
            <w:tcW w:w="723" w:type="dxa"/>
            <w:tcBorders>
              <w:top w:val="nil"/>
              <w:bottom w:val="nil"/>
            </w:tcBorders>
            <w:vAlign w:val="bottom"/>
          </w:tcPr>
          <w:p w14:paraId="1F26684E"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9.19</w:t>
            </w:r>
          </w:p>
        </w:tc>
        <w:tc>
          <w:tcPr>
            <w:tcW w:w="769" w:type="dxa"/>
            <w:tcBorders>
              <w:top w:val="nil"/>
              <w:bottom w:val="nil"/>
            </w:tcBorders>
            <w:vAlign w:val="bottom"/>
          </w:tcPr>
          <w:p w14:paraId="1F7C49D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14.37</w:t>
            </w:r>
          </w:p>
        </w:tc>
        <w:tc>
          <w:tcPr>
            <w:tcW w:w="752" w:type="dxa"/>
            <w:tcBorders>
              <w:top w:val="nil"/>
              <w:bottom w:val="nil"/>
            </w:tcBorders>
            <w:vAlign w:val="bottom"/>
          </w:tcPr>
          <w:p w14:paraId="7E2A5F60"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3.22</w:t>
            </w:r>
          </w:p>
        </w:tc>
        <w:tc>
          <w:tcPr>
            <w:tcW w:w="654" w:type="dxa"/>
            <w:tcBorders>
              <w:top w:val="nil"/>
              <w:bottom w:val="nil"/>
            </w:tcBorders>
            <w:vAlign w:val="bottom"/>
          </w:tcPr>
          <w:p w14:paraId="3A99D9A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3.47</w:t>
            </w:r>
          </w:p>
        </w:tc>
        <w:tc>
          <w:tcPr>
            <w:tcW w:w="684" w:type="dxa"/>
            <w:tcBorders>
              <w:top w:val="nil"/>
              <w:bottom w:val="nil"/>
            </w:tcBorders>
            <w:vAlign w:val="bottom"/>
          </w:tcPr>
          <w:p w14:paraId="3B3F347B"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0.77</w:t>
            </w:r>
          </w:p>
        </w:tc>
      </w:tr>
      <w:tr w:rsidR="004358B7" w14:paraId="6C38EB1C" w14:textId="77777777" w:rsidTr="00F4448F">
        <w:tc>
          <w:tcPr>
            <w:tcW w:w="1716" w:type="dxa"/>
            <w:tcBorders>
              <w:top w:val="nil"/>
              <w:bottom w:val="nil"/>
            </w:tcBorders>
          </w:tcPr>
          <w:p w14:paraId="1434C23A" w14:textId="77777777" w:rsidR="00AC4246" w:rsidRDefault="00AC4246" w:rsidP="00B016E9">
            <w:pPr>
              <w:jc w:val="both"/>
              <w:rPr>
                <w:rFonts w:ascii="Times New Roman" w:hAnsi="Times New Roman" w:cs="Times New Roman"/>
              </w:rPr>
            </w:pPr>
            <w:r>
              <w:rPr>
                <w:rFonts w:ascii="Times New Roman" w:hAnsi="Times New Roman" w:cs="Times New Roman"/>
              </w:rPr>
              <w:t xml:space="preserve">AH3 </w:t>
            </w:r>
            <w:proofErr w:type="spellStart"/>
            <w:r>
              <w:rPr>
                <w:rFonts w:ascii="Times New Roman" w:hAnsi="Times New Roman" w:cs="Times New Roman"/>
              </w:rPr>
              <w:t>pt</w:t>
            </w:r>
            <w:proofErr w:type="spellEnd"/>
          </w:p>
        </w:tc>
        <w:tc>
          <w:tcPr>
            <w:tcW w:w="756" w:type="dxa"/>
            <w:tcBorders>
              <w:top w:val="nil"/>
              <w:bottom w:val="nil"/>
            </w:tcBorders>
            <w:vAlign w:val="bottom"/>
          </w:tcPr>
          <w:p w14:paraId="470BD9FA"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50.15</w:t>
            </w:r>
          </w:p>
        </w:tc>
        <w:tc>
          <w:tcPr>
            <w:tcW w:w="683" w:type="dxa"/>
            <w:tcBorders>
              <w:top w:val="nil"/>
              <w:bottom w:val="nil"/>
            </w:tcBorders>
            <w:vAlign w:val="bottom"/>
          </w:tcPr>
          <w:p w14:paraId="2CB6316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0.86</w:t>
            </w:r>
          </w:p>
        </w:tc>
        <w:tc>
          <w:tcPr>
            <w:tcW w:w="797" w:type="dxa"/>
            <w:tcBorders>
              <w:top w:val="nil"/>
              <w:bottom w:val="nil"/>
            </w:tcBorders>
            <w:vAlign w:val="bottom"/>
          </w:tcPr>
          <w:p w14:paraId="6492E1C3"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15.28</w:t>
            </w:r>
          </w:p>
        </w:tc>
        <w:tc>
          <w:tcPr>
            <w:tcW w:w="759" w:type="dxa"/>
            <w:tcBorders>
              <w:top w:val="nil"/>
              <w:bottom w:val="nil"/>
            </w:tcBorders>
            <w:vAlign w:val="bottom"/>
          </w:tcPr>
          <w:p w14:paraId="71EBD46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7.64</w:t>
            </w:r>
          </w:p>
        </w:tc>
        <w:tc>
          <w:tcPr>
            <w:tcW w:w="723" w:type="dxa"/>
            <w:tcBorders>
              <w:top w:val="nil"/>
              <w:bottom w:val="nil"/>
            </w:tcBorders>
            <w:vAlign w:val="bottom"/>
          </w:tcPr>
          <w:p w14:paraId="7F402FBB"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0.04</w:t>
            </w:r>
          </w:p>
        </w:tc>
        <w:tc>
          <w:tcPr>
            <w:tcW w:w="723" w:type="dxa"/>
            <w:tcBorders>
              <w:top w:val="nil"/>
              <w:bottom w:val="nil"/>
            </w:tcBorders>
            <w:vAlign w:val="bottom"/>
          </w:tcPr>
          <w:p w14:paraId="5C7421A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5.93</w:t>
            </w:r>
          </w:p>
        </w:tc>
        <w:tc>
          <w:tcPr>
            <w:tcW w:w="769" w:type="dxa"/>
            <w:tcBorders>
              <w:top w:val="nil"/>
              <w:bottom w:val="nil"/>
            </w:tcBorders>
            <w:vAlign w:val="bottom"/>
          </w:tcPr>
          <w:p w14:paraId="6E3CD6B7"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11.13</w:t>
            </w:r>
          </w:p>
        </w:tc>
        <w:tc>
          <w:tcPr>
            <w:tcW w:w="752" w:type="dxa"/>
            <w:tcBorders>
              <w:top w:val="nil"/>
              <w:bottom w:val="nil"/>
            </w:tcBorders>
            <w:vAlign w:val="bottom"/>
          </w:tcPr>
          <w:p w14:paraId="2F0627C3"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7.11</w:t>
            </w:r>
          </w:p>
        </w:tc>
        <w:tc>
          <w:tcPr>
            <w:tcW w:w="654" w:type="dxa"/>
            <w:tcBorders>
              <w:top w:val="nil"/>
              <w:bottom w:val="nil"/>
            </w:tcBorders>
            <w:vAlign w:val="bottom"/>
          </w:tcPr>
          <w:p w14:paraId="1A30324B"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1.86</w:t>
            </w:r>
          </w:p>
        </w:tc>
        <w:tc>
          <w:tcPr>
            <w:tcW w:w="684" w:type="dxa"/>
            <w:tcBorders>
              <w:top w:val="nil"/>
              <w:bottom w:val="nil"/>
            </w:tcBorders>
            <w:vAlign w:val="bottom"/>
          </w:tcPr>
          <w:p w14:paraId="4606218A"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0.00</w:t>
            </w:r>
          </w:p>
        </w:tc>
      </w:tr>
      <w:tr w:rsidR="004358B7" w14:paraId="1D9D8E98" w14:textId="77777777" w:rsidTr="00F4448F">
        <w:tc>
          <w:tcPr>
            <w:tcW w:w="1716" w:type="dxa"/>
            <w:tcBorders>
              <w:top w:val="nil"/>
              <w:bottom w:val="nil"/>
            </w:tcBorders>
          </w:tcPr>
          <w:p w14:paraId="1268C12E" w14:textId="77777777" w:rsidR="00AC4246" w:rsidRDefault="00AC4246" w:rsidP="00B016E9">
            <w:pPr>
              <w:jc w:val="both"/>
              <w:rPr>
                <w:rFonts w:ascii="Times New Roman" w:hAnsi="Times New Roman" w:cs="Times New Roman"/>
              </w:rPr>
            </w:pPr>
            <w:r>
              <w:rPr>
                <w:rFonts w:ascii="Times New Roman" w:hAnsi="Times New Roman" w:cs="Times New Roman"/>
              </w:rPr>
              <w:t>N72 basalt</w:t>
            </w:r>
          </w:p>
        </w:tc>
        <w:tc>
          <w:tcPr>
            <w:tcW w:w="756" w:type="dxa"/>
            <w:tcBorders>
              <w:top w:val="nil"/>
              <w:bottom w:val="nil"/>
            </w:tcBorders>
            <w:vAlign w:val="bottom"/>
          </w:tcPr>
          <w:p w14:paraId="57C7CBAA"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50.17</w:t>
            </w:r>
          </w:p>
        </w:tc>
        <w:tc>
          <w:tcPr>
            <w:tcW w:w="683" w:type="dxa"/>
            <w:tcBorders>
              <w:top w:val="nil"/>
              <w:bottom w:val="nil"/>
            </w:tcBorders>
            <w:vAlign w:val="bottom"/>
          </w:tcPr>
          <w:p w14:paraId="26DD1D50"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0.92</w:t>
            </w:r>
          </w:p>
        </w:tc>
        <w:tc>
          <w:tcPr>
            <w:tcW w:w="797" w:type="dxa"/>
            <w:tcBorders>
              <w:top w:val="nil"/>
              <w:bottom w:val="nil"/>
            </w:tcBorders>
            <w:vAlign w:val="bottom"/>
          </w:tcPr>
          <w:p w14:paraId="0BBA56C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18.28</w:t>
            </w:r>
          </w:p>
        </w:tc>
        <w:tc>
          <w:tcPr>
            <w:tcW w:w="759" w:type="dxa"/>
            <w:tcBorders>
              <w:top w:val="nil"/>
              <w:bottom w:val="nil"/>
            </w:tcBorders>
            <w:vAlign w:val="bottom"/>
          </w:tcPr>
          <w:p w14:paraId="069F425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9.37</w:t>
            </w:r>
          </w:p>
        </w:tc>
        <w:tc>
          <w:tcPr>
            <w:tcW w:w="723" w:type="dxa"/>
            <w:tcBorders>
              <w:top w:val="nil"/>
              <w:bottom w:val="nil"/>
            </w:tcBorders>
            <w:vAlign w:val="bottom"/>
          </w:tcPr>
          <w:p w14:paraId="26C1ED9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0.17</w:t>
            </w:r>
          </w:p>
        </w:tc>
        <w:tc>
          <w:tcPr>
            <w:tcW w:w="723" w:type="dxa"/>
            <w:tcBorders>
              <w:top w:val="nil"/>
              <w:bottom w:val="nil"/>
            </w:tcBorders>
            <w:vAlign w:val="bottom"/>
          </w:tcPr>
          <w:p w14:paraId="78C45A5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7.00</w:t>
            </w:r>
          </w:p>
        </w:tc>
        <w:tc>
          <w:tcPr>
            <w:tcW w:w="769" w:type="dxa"/>
            <w:tcBorders>
              <w:top w:val="nil"/>
              <w:bottom w:val="nil"/>
            </w:tcBorders>
            <w:vAlign w:val="bottom"/>
          </w:tcPr>
          <w:p w14:paraId="1FCBE84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11.37</w:t>
            </w:r>
          </w:p>
        </w:tc>
        <w:tc>
          <w:tcPr>
            <w:tcW w:w="752" w:type="dxa"/>
            <w:tcBorders>
              <w:top w:val="nil"/>
              <w:bottom w:val="nil"/>
            </w:tcBorders>
            <w:vAlign w:val="bottom"/>
          </w:tcPr>
          <w:p w14:paraId="6C9A7F59"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2.33</w:t>
            </w:r>
          </w:p>
        </w:tc>
        <w:tc>
          <w:tcPr>
            <w:tcW w:w="654" w:type="dxa"/>
            <w:tcBorders>
              <w:top w:val="nil"/>
              <w:bottom w:val="nil"/>
            </w:tcBorders>
            <w:vAlign w:val="bottom"/>
          </w:tcPr>
          <w:p w14:paraId="7E1462D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0.23</w:t>
            </w:r>
          </w:p>
        </w:tc>
        <w:tc>
          <w:tcPr>
            <w:tcW w:w="684" w:type="dxa"/>
            <w:tcBorders>
              <w:top w:val="nil"/>
              <w:bottom w:val="nil"/>
            </w:tcBorders>
            <w:vAlign w:val="bottom"/>
          </w:tcPr>
          <w:p w14:paraId="6F2055A0"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0.15</w:t>
            </w:r>
          </w:p>
        </w:tc>
      </w:tr>
      <w:tr w:rsidR="004358B7" w14:paraId="10F0F14B" w14:textId="77777777" w:rsidTr="00F4448F">
        <w:tc>
          <w:tcPr>
            <w:tcW w:w="1716" w:type="dxa"/>
            <w:tcBorders>
              <w:top w:val="nil"/>
              <w:bottom w:val="nil"/>
            </w:tcBorders>
          </w:tcPr>
          <w:p w14:paraId="7C2195C8" w14:textId="77777777" w:rsidR="00AC4246" w:rsidRDefault="00AC4246" w:rsidP="00B016E9">
            <w:pPr>
              <w:jc w:val="both"/>
              <w:rPr>
                <w:rFonts w:ascii="Times New Roman" w:hAnsi="Times New Roman" w:cs="Times New Roman"/>
              </w:rPr>
            </w:pPr>
            <w:r>
              <w:rPr>
                <w:rFonts w:ascii="Times New Roman" w:hAnsi="Times New Roman" w:cs="Times New Roman"/>
              </w:rPr>
              <w:t>Hawaiian</w:t>
            </w:r>
          </w:p>
        </w:tc>
        <w:tc>
          <w:tcPr>
            <w:tcW w:w="756" w:type="dxa"/>
            <w:tcBorders>
              <w:top w:val="nil"/>
              <w:bottom w:val="nil"/>
            </w:tcBorders>
            <w:vAlign w:val="bottom"/>
          </w:tcPr>
          <w:p w14:paraId="2F7C078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50.8</w:t>
            </w:r>
          </w:p>
        </w:tc>
        <w:tc>
          <w:tcPr>
            <w:tcW w:w="683" w:type="dxa"/>
            <w:tcBorders>
              <w:top w:val="nil"/>
              <w:bottom w:val="nil"/>
            </w:tcBorders>
            <w:vAlign w:val="bottom"/>
          </w:tcPr>
          <w:p w14:paraId="44389E6E"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1.84</w:t>
            </w:r>
          </w:p>
        </w:tc>
        <w:tc>
          <w:tcPr>
            <w:tcW w:w="797" w:type="dxa"/>
            <w:tcBorders>
              <w:top w:val="nil"/>
              <w:bottom w:val="nil"/>
            </w:tcBorders>
            <w:vAlign w:val="bottom"/>
          </w:tcPr>
          <w:p w14:paraId="4B22AF23"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13.7</w:t>
            </w:r>
          </w:p>
        </w:tc>
        <w:tc>
          <w:tcPr>
            <w:tcW w:w="759" w:type="dxa"/>
            <w:tcBorders>
              <w:top w:val="nil"/>
              <w:bottom w:val="nil"/>
            </w:tcBorders>
            <w:vAlign w:val="bottom"/>
          </w:tcPr>
          <w:p w14:paraId="0CA5AF0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12.4</w:t>
            </w:r>
          </w:p>
        </w:tc>
        <w:tc>
          <w:tcPr>
            <w:tcW w:w="723" w:type="dxa"/>
            <w:tcBorders>
              <w:top w:val="nil"/>
              <w:bottom w:val="nil"/>
            </w:tcBorders>
            <w:vAlign w:val="bottom"/>
          </w:tcPr>
          <w:p w14:paraId="4B37724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0.22</w:t>
            </w:r>
          </w:p>
        </w:tc>
        <w:tc>
          <w:tcPr>
            <w:tcW w:w="723" w:type="dxa"/>
            <w:tcBorders>
              <w:top w:val="nil"/>
              <w:bottom w:val="nil"/>
            </w:tcBorders>
            <w:vAlign w:val="bottom"/>
          </w:tcPr>
          <w:p w14:paraId="29291C57"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6.67</w:t>
            </w:r>
          </w:p>
        </w:tc>
        <w:tc>
          <w:tcPr>
            <w:tcW w:w="769" w:type="dxa"/>
            <w:tcBorders>
              <w:top w:val="nil"/>
              <w:bottom w:val="nil"/>
            </w:tcBorders>
            <w:vAlign w:val="bottom"/>
          </w:tcPr>
          <w:p w14:paraId="2930EEB4"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11.5</w:t>
            </w:r>
          </w:p>
        </w:tc>
        <w:tc>
          <w:tcPr>
            <w:tcW w:w="752" w:type="dxa"/>
            <w:tcBorders>
              <w:top w:val="nil"/>
              <w:bottom w:val="nil"/>
            </w:tcBorders>
            <w:vAlign w:val="bottom"/>
          </w:tcPr>
          <w:p w14:paraId="5542329A"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2.68</w:t>
            </w:r>
          </w:p>
        </w:tc>
        <w:tc>
          <w:tcPr>
            <w:tcW w:w="654" w:type="dxa"/>
            <w:tcBorders>
              <w:top w:val="nil"/>
              <w:bottom w:val="nil"/>
            </w:tcBorders>
            <w:vAlign w:val="bottom"/>
          </w:tcPr>
          <w:p w14:paraId="679C1529"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0.15</w:t>
            </w:r>
          </w:p>
        </w:tc>
        <w:tc>
          <w:tcPr>
            <w:tcW w:w="684" w:type="dxa"/>
            <w:tcBorders>
              <w:top w:val="nil"/>
              <w:bottom w:val="nil"/>
            </w:tcBorders>
            <w:vAlign w:val="bottom"/>
          </w:tcPr>
          <w:p w14:paraId="69E4B037"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0.19</w:t>
            </w:r>
          </w:p>
        </w:tc>
      </w:tr>
      <w:tr w:rsidR="004358B7" w14:paraId="0C557203" w14:textId="77777777" w:rsidTr="00F4448F">
        <w:tc>
          <w:tcPr>
            <w:tcW w:w="1716" w:type="dxa"/>
            <w:tcBorders>
              <w:top w:val="nil"/>
            </w:tcBorders>
          </w:tcPr>
          <w:p w14:paraId="620AC36D" w14:textId="77777777" w:rsidR="00AC4246" w:rsidRDefault="00AC4246" w:rsidP="00B016E9">
            <w:pPr>
              <w:jc w:val="both"/>
              <w:rPr>
                <w:rFonts w:ascii="Times New Roman" w:hAnsi="Times New Roman" w:cs="Times New Roman"/>
              </w:rPr>
            </w:pPr>
            <w:r>
              <w:rPr>
                <w:rFonts w:ascii="Times New Roman" w:hAnsi="Times New Roman" w:cs="Times New Roman"/>
              </w:rPr>
              <w:t>MORB</w:t>
            </w:r>
          </w:p>
        </w:tc>
        <w:tc>
          <w:tcPr>
            <w:tcW w:w="756" w:type="dxa"/>
            <w:tcBorders>
              <w:top w:val="nil"/>
            </w:tcBorders>
            <w:vAlign w:val="bottom"/>
          </w:tcPr>
          <w:p w14:paraId="51F826E1"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51.29</w:t>
            </w:r>
          </w:p>
        </w:tc>
        <w:tc>
          <w:tcPr>
            <w:tcW w:w="683" w:type="dxa"/>
            <w:tcBorders>
              <w:top w:val="nil"/>
            </w:tcBorders>
            <w:vAlign w:val="bottom"/>
          </w:tcPr>
          <w:p w14:paraId="37F8705D"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2.50</w:t>
            </w:r>
          </w:p>
        </w:tc>
        <w:tc>
          <w:tcPr>
            <w:tcW w:w="797" w:type="dxa"/>
            <w:tcBorders>
              <w:top w:val="nil"/>
            </w:tcBorders>
            <w:vAlign w:val="bottom"/>
          </w:tcPr>
          <w:p w14:paraId="50FB6578"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13.70</w:t>
            </w:r>
          </w:p>
        </w:tc>
        <w:tc>
          <w:tcPr>
            <w:tcW w:w="759" w:type="dxa"/>
            <w:tcBorders>
              <w:top w:val="nil"/>
            </w:tcBorders>
            <w:vAlign w:val="bottom"/>
          </w:tcPr>
          <w:p w14:paraId="5770839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11.04</w:t>
            </w:r>
          </w:p>
        </w:tc>
        <w:tc>
          <w:tcPr>
            <w:tcW w:w="723" w:type="dxa"/>
            <w:tcBorders>
              <w:top w:val="nil"/>
            </w:tcBorders>
            <w:vAlign w:val="bottom"/>
          </w:tcPr>
          <w:p w14:paraId="1274E6EA"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0.02</w:t>
            </w:r>
          </w:p>
        </w:tc>
        <w:tc>
          <w:tcPr>
            <w:tcW w:w="723" w:type="dxa"/>
            <w:tcBorders>
              <w:top w:val="nil"/>
            </w:tcBorders>
            <w:vAlign w:val="bottom"/>
          </w:tcPr>
          <w:p w14:paraId="29CB552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6.70</w:t>
            </w:r>
          </w:p>
        </w:tc>
        <w:tc>
          <w:tcPr>
            <w:tcW w:w="769" w:type="dxa"/>
            <w:tcBorders>
              <w:top w:val="nil"/>
            </w:tcBorders>
            <w:vAlign w:val="bottom"/>
          </w:tcPr>
          <w:p w14:paraId="788FAC0F"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11.03</w:t>
            </w:r>
          </w:p>
        </w:tc>
        <w:tc>
          <w:tcPr>
            <w:tcW w:w="752" w:type="dxa"/>
            <w:tcBorders>
              <w:top w:val="nil"/>
            </w:tcBorders>
            <w:vAlign w:val="bottom"/>
          </w:tcPr>
          <w:p w14:paraId="3AC8C04C"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2.27</w:t>
            </w:r>
          </w:p>
        </w:tc>
        <w:tc>
          <w:tcPr>
            <w:tcW w:w="654" w:type="dxa"/>
            <w:tcBorders>
              <w:top w:val="nil"/>
            </w:tcBorders>
            <w:vAlign w:val="bottom"/>
          </w:tcPr>
          <w:p w14:paraId="4285FF66" w14:textId="77777777" w:rsidR="00AC4246" w:rsidRPr="008B4A1C" w:rsidRDefault="00AC4246" w:rsidP="00B016E9">
            <w:pPr>
              <w:jc w:val="right"/>
              <w:rPr>
                <w:rFonts w:ascii="Times New Roman" w:hAnsi="Times New Roman" w:cs="Times New Roman"/>
              </w:rPr>
            </w:pPr>
            <w:r w:rsidRPr="00DC5970">
              <w:rPr>
                <w:rFonts w:ascii="Times New Roman" w:hAnsi="Times New Roman" w:cs="Times New Roman"/>
                <w:color w:val="000000"/>
              </w:rPr>
              <w:t>0.43</w:t>
            </w:r>
          </w:p>
        </w:tc>
        <w:tc>
          <w:tcPr>
            <w:tcW w:w="684" w:type="dxa"/>
            <w:tcBorders>
              <w:top w:val="nil"/>
            </w:tcBorders>
            <w:vAlign w:val="bottom"/>
          </w:tcPr>
          <w:p w14:paraId="29A3B317" w14:textId="77777777" w:rsidR="00AC4246" w:rsidRDefault="00AC4246" w:rsidP="00B016E9">
            <w:pPr>
              <w:jc w:val="both"/>
              <w:rPr>
                <w:rFonts w:ascii="Times New Roman" w:hAnsi="Times New Roman" w:cs="Times New Roman"/>
              </w:rPr>
            </w:pPr>
            <w:r w:rsidRPr="00DC5970">
              <w:rPr>
                <w:rFonts w:ascii="Times New Roman" w:hAnsi="Times New Roman" w:cs="Times New Roman"/>
                <w:color w:val="000000"/>
              </w:rPr>
              <w:t>0.21</w:t>
            </w:r>
          </w:p>
        </w:tc>
      </w:tr>
    </w:tbl>
    <w:p w14:paraId="70562C1E" w14:textId="4C679F68" w:rsidR="00AC4246" w:rsidRPr="008B4A1C" w:rsidRDefault="00AC4246" w:rsidP="00AC4246">
      <w:pPr>
        <w:jc w:val="both"/>
        <w:rPr>
          <w:rFonts w:ascii="Times New Roman" w:hAnsi="Times New Roman" w:cs="Times New Roman"/>
        </w:rPr>
      </w:pPr>
      <w:r>
        <w:rPr>
          <w:rFonts w:ascii="Times New Roman" w:hAnsi="Times New Roman" w:cs="Times New Roman"/>
          <w:i/>
          <w:iCs/>
        </w:rPr>
        <w:t>Notes</w:t>
      </w:r>
      <w:r>
        <w:rPr>
          <w:rFonts w:ascii="Times New Roman" w:hAnsi="Times New Roman" w:cs="Times New Roman"/>
        </w:rPr>
        <w:t xml:space="preserve">: all oxide concentrations in </w:t>
      </w:r>
      <w:proofErr w:type="spellStart"/>
      <w:r>
        <w:rPr>
          <w:rFonts w:ascii="Times New Roman" w:hAnsi="Times New Roman" w:cs="Times New Roman"/>
        </w:rPr>
        <w:t>wt</w:t>
      </w:r>
      <w:proofErr w:type="spellEnd"/>
      <w:r>
        <w:rPr>
          <w:rFonts w:ascii="Times New Roman" w:hAnsi="Times New Roman" w:cs="Times New Roman"/>
        </w:rPr>
        <w:t xml:space="preserve">%. Composition for Sunset crater, SFVF, Erebus, Vesuvius, Etna, and Stromboli from </w:t>
      </w:r>
      <w:r>
        <w:rPr>
          <w:rFonts w:ascii="Times New Roman" w:hAnsi="Times New Roman" w:cs="Times New Roman"/>
        </w:rPr>
        <w:fldChar w:fldCharType="begin" w:fldLock="1"/>
      </w:r>
      <w:r>
        <w:rPr>
          <w:rFonts w:ascii="Times New Roman" w:hAnsi="Times New Roman" w:cs="Times New Roman"/>
        </w:rPr>
        <w:instrText>ADDIN CSL_CITATION {"citationItems":[{"id":"ITEM-1","itemData":{"DOI":"10.1007/s00410-019-1592-4","ISSN":"14320967","abstract":"Volatile solubility in magmas depends on several factors, including composition and pressure. Mafic magmas with high concentrations of alkali elements are capable of dissolving larger quantities of H2O and CO2 than subalkaline basalt, which possibly contributes to large explosive eruptions. Existing volatile solubility models for alkali-rich mafic magmas are well calibrated below ~ 200 MPa, but at greater pressures the experimental data are sparse. To fill in this gap, we conducted a set of mixed H2O–CO2 volatile solubility experiments between 400 and 600 MPa at 1200 °C in six mafic compositions with variable alkali contents (Stromboli, Etna, Vesuvius, Erebus, Sunset Crater, and the San Francisco Volcanic Field). Results from our experiments indicate that existing volatile solubility models for alkali-rich mafic magmas, if extrapolated beyond their calibrated ranges, do not accurately describe CO2 solubility at mid-crustal pressures. We adapt an existing thermodynamic model to reflect our higher-pressure experimental data by determining model parameters ΔVr0,m (partial molar volume change of CO2 reaction) and K0 (equilibrium constant) for each studied composition. In these compositions, ΔVr0,m is found to vary between ~ 15 and ~ 25 cm3 mol−1, while ln K0 ranges from − 14.9 to − 14.0. The calculated solubility curves show good agreement with CO2 solubility data from the experiments and provide a more accurate description of CO2 solubility than purely empirical fits. These new experiments indicate while CO2 solubility is increased in alkali-rich mafic magmas, it is not simply controlled by total alkali content but rather the full multicomponent magma composition.","author":[{"dropping-particle":"","family":"Allison","given":"Chelsea M.","non-dropping-particle":"","parse-names":false,"suffix":""},{"dropping-particle":"","family":"Roggensack","given":"Kurt","non-dropping-particle":"","parse-names":false,"suffix":""},{"dropping-particle":"","family":"Clarke","given":"Amanda B.","non-dropping-particle":"","parse-names":false,"suffix":""}],"container-title":"Contributions to Mineralogy and Petrology","id":"ITEM-1","issue":"7","issued":{"date-parts":[["2019","7","1"]]},"page":"58","publisher":"Springer Verlag","title":"H2O–CO2 solubility in alkali-rich mafic magmas: new experiments at mid-crustal pressures","type":"article-journal","volume":"174"},"uris":["http://www.mendeley.com/documents/?uuid=c3e0b1fd-a28b-31d7-ba24-78faac81b0bd"]}],"mendeley":{"formattedCitation":"(Allison et al., 2019)","manualFormatting":"Allison et al. (2019)","plainTextFormattedCitation":"(Allison et al., 2019)","previouslyFormattedCitation":"(Allison et al., 2019)"},"properties":{"noteIndex":0},"schema":"https://github.com/citation-style-language/schema/raw/master/csl-citation.json"}</w:instrText>
      </w:r>
      <w:r>
        <w:rPr>
          <w:rFonts w:ascii="Times New Roman" w:hAnsi="Times New Roman" w:cs="Times New Roman"/>
        </w:rPr>
        <w:fldChar w:fldCharType="separate"/>
      </w:r>
      <w:r w:rsidRPr="004168B8">
        <w:rPr>
          <w:rFonts w:ascii="Times New Roman" w:hAnsi="Times New Roman" w:cs="Times New Roman"/>
          <w:noProof/>
        </w:rPr>
        <w:t xml:space="preserve">Allison et al. </w:t>
      </w:r>
      <w:r>
        <w:rPr>
          <w:rFonts w:ascii="Times New Roman" w:hAnsi="Times New Roman" w:cs="Times New Roman"/>
          <w:noProof/>
        </w:rPr>
        <w:t>(</w:t>
      </w:r>
      <w:r w:rsidRPr="004168B8">
        <w:rPr>
          <w:rFonts w:ascii="Times New Roman" w:hAnsi="Times New Roman" w:cs="Times New Roman"/>
          <w:noProof/>
        </w:rPr>
        <w:t>2019)</w:t>
      </w:r>
      <w:r>
        <w:rPr>
          <w:rFonts w:ascii="Times New Roman" w:hAnsi="Times New Roman" w:cs="Times New Roman"/>
        </w:rPr>
        <w:fldChar w:fldCharType="end"/>
      </w:r>
      <w:r>
        <w:rPr>
          <w:rFonts w:ascii="Times New Roman" w:hAnsi="Times New Roman" w:cs="Times New Roman"/>
        </w:rPr>
        <w:t xml:space="preserve">; Basanite </w:t>
      </w:r>
      <w:r w:rsidR="000A3D09">
        <w:rPr>
          <w:rFonts w:ascii="Times New Roman" w:hAnsi="Times New Roman" w:cs="Times New Roman"/>
        </w:rPr>
        <w:t>from</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{"citationItems":[{"id":"ITEM-1","itemData":{"author":[{"dropping-particle":"","family":"Holloway","given":"John R.","non-dropping-particle":"","parse-names":false,"suffix":""},{"dropping-particle":"","family":"Blank","given":"J.G.","non-dropping-particle":"","parse-names":false,"suffix":""}],"container-title":"Reviews in Mineralogy and Geochemistry1","id":"ITEM-1","issued":{"date-parts":[["1994"]]},"page":"187-230","title":"Application of experimental results to C-O-H species in natural melts","type":"article-journal","volume":"30"},"uris":["http://www.mendeley.com/documents/?uuid=684bbec2-0718-420b-822b-63267b10a84a"]}],"mendeley":{"formattedCitation":"(Holloway and Blank, 1994)","manualFormatting":"Holloway and Blank (1994)","plainTextFormattedCitation":"(Holloway and Blank, 1994)","previouslyFormattedCitation":"(Holloway and Blank, 1994)"},"properties":{"noteIndex":0},"schema":"https://github.com/citation-style-language/schema/raw/master/csl-citation.json"}</w:instrText>
      </w:r>
      <w:r>
        <w:rPr>
          <w:rFonts w:ascii="Times New Roman" w:hAnsi="Times New Roman" w:cs="Times New Roman"/>
        </w:rPr>
        <w:fldChar w:fldCharType="separate"/>
      </w:r>
      <w:r w:rsidRPr="004168B8">
        <w:rPr>
          <w:rFonts w:ascii="Times New Roman" w:hAnsi="Times New Roman" w:cs="Times New Roman"/>
          <w:noProof/>
        </w:rPr>
        <w:t xml:space="preserve">Holloway and Blank </w:t>
      </w:r>
      <w:r>
        <w:rPr>
          <w:rFonts w:ascii="Times New Roman" w:hAnsi="Times New Roman" w:cs="Times New Roman"/>
          <w:noProof/>
        </w:rPr>
        <w:t>(</w:t>
      </w:r>
      <w:r w:rsidRPr="004168B8">
        <w:rPr>
          <w:rFonts w:ascii="Times New Roman" w:hAnsi="Times New Roman" w:cs="Times New Roman"/>
          <w:noProof/>
        </w:rPr>
        <w:t>1994)</w:t>
      </w:r>
      <w:r>
        <w:rPr>
          <w:rFonts w:ascii="Times New Roman" w:hAnsi="Times New Roman" w:cs="Times New Roman"/>
        </w:rPr>
        <w:fldChar w:fldCharType="end"/>
      </w:r>
      <w:r w:rsidR="000A3D09">
        <w:rPr>
          <w:rFonts w:ascii="Times New Roman" w:hAnsi="Times New Roman" w:cs="Times New Roman"/>
        </w:rPr>
        <w:t>;</w:t>
      </w:r>
      <w:r>
        <w:rPr>
          <w:rFonts w:ascii="Times New Roman" w:hAnsi="Times New Roman" w:cs="Times New Roman"/>
        </w:rPr>
        <w:t xml:space="preserve"> Leucite </w:t>
      </w:r>
      <w:r w:rsidR="000A3D09">
        <w:rPr>
          <w:rFonts w:ascii="Times New Roman" w:hAnsi="Times New Roman" w:cs="Times New Roman"/>
        </w:rPr>
        <w:t>from</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{"citationItems":[{"id":"ITEM-1","itemData":{"DOI":"10.1007/BF00310701/METRICS","ISSN":"00107999","abstract":"The solubility of carbon dioxide in a Ca-rich leucitite has been investigated as a function of pressure (0.1-2.0 GPa), temperature (1200-1600°C), and oxygen fugacity. The experiments were done in a rapid-quench internally-heated pressure vessel (0.1 GPa) and a piston cylinder (0.5-2.0 GPa). The leucitite glass, previously equilibrated at NNO, and silver oxalate were loaded in Fe-doped Pt capsules (oxidized conditions) and graphitelined Pt capsules (reduced conditions). Secondary Ion Mass Spectrometry and bulk carbon analyses were used to determine the amount of dissolved carbon. Speciation of carbon was characterized by Fourier transform microinfrared spectroscopy. At oxidized conditions, only CO32- is observed as a dissolved species. The solubility is high with CO2 contents in the melt attaining 6.2 wt% at 2.0 GPa and 1350°C. The solubility increases with pressure and shows a significant negative temperature dependence. An excellent correlation is obtained when the data are fit to a model, based on the simplified solubility reaction CO2(vapor)+O2-(melt)</w:instrText>
      </w:r>
      <w:r>
        <w:rPr>
          <w:rFonts w:ascii="Cambria Math" w:hAnsi="Cambria Math" w:cs="Cambria Math"/>
        </w:rPr>
        <w:instrText>⇒</w:instrText>
      </w:r>
      <w:r>
        <w:rPr>
          <w:rFonts w:ascii="Times New Roman" w:hAnsi="Times New Roman" w:cs="Times New Roman"/>
        </w:rPr>
        <w:instrText>CO32-(melt), which describes the solubility of CO2 as a function of pressure, temperature and fCO2. At reduced conditions, the amount of carbon dissolved is significantly lower, and CO32- is still the only species present in the melt. If the solubility model established at oxidized conditions is applied, the carbon dissolved appears to be essentially a function of fCO2 alone although divergence increases in a consistent manner with pressure and temperature. This could suggest a low but significant solubility of CO with a positive temperature dependence or a departure of the calculated fluid compositions determined by the equation of state from the actual ones. The strong preferential solubility of carbon in its oxidized C4+ form, even at reduced conditions, implies that ascending melts with high CO2 solubility can experience significant oxidation through degassing. This could reconcile the oxidized nature of some Ca-rich alkaline magmas with more reduced mantle source regions. © 1994 Springer-Verlag.","author":[{"dropping-particle":"","family":"Thibault","given":"Yves","non-dropping-particle":"","parse-names":false,"suffix":""},{"dropping-particle":"","family":"Holloway","given":"John R.","non-dropping-particle":"","parse-names":false,"suffix":""}],"container-title":"Contributions to Mineralogy and Petrology","id":"ITEM-1","issue":"1-2","issued":{"date-parts":[["1994","3"]]},"page":"216-224","publisher":"Springer-Verlag","title":"Solubility of CO2 in a Ca-rich leucitite: effects of pressure, temperature, and oxygen fugacity","type":"article-journal","volume":"116"},"uris":["http://www.mendeley.com/documents/?uuid=5dbd0ad4-5cb8-3a6a-ab0e-1b7e110de724"]}],"mendeley":{"formattedCitation":"(Thibault and Holloway, 1994)","manualFormatting":"Thibault and Holloway (1994)","plainTextFormattedCitation":"(Thibault and Holloway, 1994)","previouslyFormattedCitation":"(Thibault and Holloway, 1994)"},"properties":{"noteIndex":0},"schema":"https://github.com/citation-style-language/schema/raw/master/csl-citation.json"}</w:instrText>
      </w:r>
      <w:r>
        <w:rPr>
          <w:rFonts w:ascii="Times New Roman" w:hAnsi="Times New Roman" w:cs="Times New Roman"/>
        </w:rPr>
        <w:fldChar w:fldCharType="separate"/>
      </w:r>
      <w:r w:rsidRPr="00DE0684">
        <w:rPr>
          <w:rFonts w:ascii="Times New Roman" w:hAnsi="Times New Roman" w:cs="Times New Roman"/>
          <w:noProof/>
        </w:rPr>
        <w:t xml:space="preserve">Thibault and Holloway </w:t>
      </w:r>
      <w:r>
        <w:rPr>
          <w:rFonts w:ascii="Times New Roman" w:hAnsi="Times New Roman" w:cs="Times New Roman"/>
          <w:noProof/>
        </w:rPr>
        <w:t>(</w:t>
      </w:r>
      <w:r w:rsidRPr="00DE0684">
        <w:rPr>
          <w:rFonts w:ascii="Times New Roman" w:hAnsi="Times New Roman" w:cs="Times New Roman"/>
          <w:noProof/>
        </w:rPr>
        <w:t>1994)</w:t>
      </w:r>
      <w:r>
        <w:rPr>
          <w:rFonts w:ascii="Times New Roman" w:hAnsi="Times New Roman" w:cs="Times New Roman"/>
        </w:rPr>
        <w:fldChar w:fldCharType="end"/>
      </w:r>
      <w:r w:rsidR="000A3D09">
        <w:rPr>
          <w:rFonts w:ascii="Times New Roman" w:hAnsi="Times New Roman" w:cs="Times New Roman"/>
        </w:rPr>
        <w:t>;</w:t>
      </w:r>
      <w:r>
        <w:rPr>
          <w:rFonts w:ascii="Times New Roman" w:hAnsi="Times New Roman" w:cs="Times New Roman"/>
        </w:rPr>
        <w:t xml:space="preserve"> AH3 </w:t>
      </w:r>
      <w:proofErr w:type="spellStart"/>
      <w:r>
        <w:rPr>
          <w:rFonts w:ascii="Times New Roman" w:hAnsi="Times New Roman" w:cs="Times New Roman"/>
        </w:rPr>
        <w:t>phonotephrite</w:t>
      </w:r>
      <w:proofErr w:type="spellEnd"/>
      <w:r>
        <w:rPr>
          <w:rFonts w:ascii="Times New Roman" w:hAnsi="Times New Roman" w:cs="Times New Roman"/>
        </w:rPr>
        <w:t xml:space="preserve"> (</w:t>
      </w:r>
      <w:proofErr w:type="spellStart"/>
      <w:r>
        <w:rPr>
          <w:rFonts w:ascii="Times New Roman" w:hAnsi="Times New Roman" w:cs="Times New Roman"/>
        </w:rPr>
        <w:t>pt</w:t>
      </w:r>
      <w:proofErr w:type="spellEnd"/>
      <w:r>
        <w:rPr>
          <w:rFonts w:ascii="Times New Roman" w:hAnsi="Times New Roman" w:cs="Times New Roman"/>
        </w:rPr>
        <w:t xml:space="preserve">) </w:t>
      </w:r>
      <w:r w:rsidR="000A3D09">
        <w:rPr>
          <w:rFonts w:ascii="Times New Roman" w:hAnsi="Times New Roman" w:cs="Times New Roman"/>
        </w:rPr>
        <w:t>from</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DOI":"10.1007/s00410-014-1014-6","ISSN":"0010-7999","author":[{"dropping-particle":"","family":"Vetere","given":"Francesco","non-dropping-particle":"","parse-names":false,"suffix":""},{"dropping-particle":"","family":"Holtz","given":"Francois","non-dropping-particle":"","parse-names":false,"suffix":""},{"dropping-particle":"","family":"Behrens","given":"Harald","non-dropping-particle":"","parse-names":false,"suffix":""},{"dropping-particle":"","family":"Botcharnikov","given":"Roman E.","non-dropping-particle":"","parse-names":false,"suffix":""},{"dropping-particle":"","family":"Fanara","given":"Sara","non-dropping-particle":"","parse-names":false,"suffix":""}],"container-title":"Contributions to Mineralogy and Petrology","id":"ITEM-1","issue":"5","issued":{"date-parts":[["2014","5","11"]]},"page":"1014","publisher":"Springer Berlin Heidelberg","title":"The effect of alkalis and polymerization on the solubility of H2O and CO2 in alkali-rich silicate melts","type":"article-journal","volume":"167"},"uris":["http://www.mendeley.com/documents/?uuid=20e07fb0-7b15-3966-aa05-e5b02924499c"]}],"mendeley":{"formattedCitation":"(Vetere et al., 2014)","manualFormatting":"Vetere et al. (2014)","plainTextFormattedCitation":"(Vetere et al., 2014)","previouslyFormattedCitation":"(Vetere et al., 2014)"},"properties":{"noteIndex":0},"schema":"https://github.com/citation-style-language/schema/raw/master/csl-citation.json"}</w:instrText>
      </w:r>
      <w:r>
        <w:rPr>
          <w:rFonts w:ascii="Times New Roman" w:hAnsi="Times New Roman" w:cs="Times New Roman"/>
        </w:rPr>
        <w:fldChar w:fldCharType="separate"/>
      </w:r>
      <w:r w:rsidRPr="004168B8">
        <w:rPr>
          <w:rFonts w:ascii="Times New Roman" w:hAnsi="Times New Roman" w:cs="Times New Roman"/>
          <w:noProof/>
        </w:rPr>
        <w:t xml:space="preserve">Vetere et al. </w:t>
      </w:r>
      <w:r>
        <w:rPr>
          <w:rFonts w:ascii="Times New Roman" w:hAnsi="Times New Roman" w:cs="Times New Roman"/>
          <w:noProof/>
        </w:rPr>
        <w:t>(</w:t>
      </w:r>
      <w:r w:rsidRPr="004168B8">
        <w:rPr>
          <w:rFonts w:ascii="Times New Roman" w:hAnsi="Times New Roman" w:cs="Times New Roman"/>
          <w:noProof/>
        </w:rPr>
        <w:t>2014)</w:t>
      </w:r>
      <w:r>
        <w:rPr>
          <w:rFonts w:ascii="Times New Roman" w:hAnsi="Times New Roman" w:cs="Times New Roman"/>
        </w:rPr>
        <w:fldChar w:fldCharType="end"/>
      </w:r>
      <w:r w:rsidR="000A3D09">
        <w:rPr>
          <w:rFonts w:ascii="Times New Roman" w:hAnsi="Times New Roman" w:cs="Times New Roman"/>
        </w:rPr>
        <w:t xml:space="preserve">; </w:t>
      </w:r>
      <w:r>
        <w:rPr>
          <w:rFonts w:ascii="Times New Roman" w:hAnsi="Times New Roman" w:cs="Times New Roman"/>
        </w:rPr>
        <w:t xml:space="preserve">and N72 basalt </w:t>
      </w:r>
      <w:r w:rsidR="000A3D09">
        <w:rPr>
          <w:rFonts w:ascii="Times New Roman" w:hAnsi="Times New Roman" w:cs="Times New Roman"/>
        </w:rPr>
        <w:t>from</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{"citationItems":[{"id":"ITEM-1","itemData":{"DOI":"10.1016/J.CHEMGEO.2010.07.014","ISSN":"0009-2541","abstract":"The solubility of H2O- and CO2-bearing fluids in tholeiitic basalts has been investigated experimentally at temperature of 1250°C and pressures of 50, 100, 200, 300, 400 and 500MPa. The concentrations of dissolved H2O and CO2 have been determined using FTIR spectroscopy with an accurate calibration of the absorption coefficients for hydrogen- and carbon-bearing species using synthesized standards of the same tholeiitic composition. The absorption coefficients are 0.65±0.08 and 0.69±0.08L/(molcm) for molecular H2O and OH groups by Near-Infrared (NIR), respectively, and 68±10L/(molcm) for bulk H2O by Mid-Infrared (MIR). The carbonate groups determined by MIR have an absorption coefficient of 317±23L/(molcm) for the band at 1430cm−1.The solubility of H2O in the melt in equilibrium with pure H2O fluid increases from about 2.3±0.12wt.% at 50MPa to about 8.8±0.16wt.% at 500MPa, whereas the concentration of CO2 increases from about 175±15 to 3318±276ppm in the melts which were equilibrated with the most CO2-rich fluids (with mole fraction of CO2 in the fluid, XflCO2, from 0.70 to 0.95). In melts coexisting with H2O- and CO2-bearing fluids, the concentrations of dissolved H2O and CO2 in basaltic melt show a non-linear dependence on both total pressure and mole fraction of volatiles in the equilibrium fluid, which is in agreement with previous studies. A comparison of new experimental data with existing numerical solubility models for mixed H2O–CO2 fluids shows that the models do not adequately predict the solubility of volatiles in basaltic liquids at pressures above 200MPa, in particular for CO2, implying that the models need to be recalibrated. The experimental dataset presented in this study enables a quantitative interpretation of volatile concentrations in glass inclusions to evaluate the magma storage conditions and degassing paths of natural island arc basaltic systems. The experimental database covers the entire range of volatile compositions reported in the literature for natural melt inclusions in olivine from low- to mid-K basalts indicating that most melt inclusions were trapped or equilibrated at intermediate to shallow levels in magmatic systems (&lt;12–15km).","author":[{"dropping-particle":"","family":"Shishkina","given":"Tatiana A.","non-dropping-particle":"","parse-names":false,"suffix":""},{"dropping-particle":"","family":"Botcharnikov","given":"Roman E.","non-dropping-particle":"","parse-names":false,"suffix":""},{"dropping-particle":"","family":"Holtz","given":"F.","non-dropping-particle":"","parse-names":false,"suffix":""},{"dropping-particle":"","family":"Almeev","given":"R.R.","non-dropping-particle":"","parse-names":false,"suffix":""},{"dropping-particle":"","family":"Portnyagin","given":"M.V.","non-dropping-particle":"","parse-names":false,"suffix":""}],"container-title":"Chemical Geology","id":"ITEM-1","issue":"1-2","issued":{"date-parts":[["2010","10","1"]]},"page":"115-125","publisher":"Elsevier","title":"Solubility of H2O- and CO2-bearing fluids in tholeiitic basalts at pressures up to 500 MPa","type":"article-journal","volume":"277"},"uris":["http://www.mendeley.com/documents/?uuid=4ffdc128-19f4-35fb-94eb-e078883ee158"]}],"mendeley":{"formattedCitation":"(Shishkina et al., 2010)","manualFormatting":"Shishkina et al. (2010)","plainTextFormattedCitation":"(Shishkina et al., 2010)","previouslyFormattedCitation":"(Shishkina et al., 2010)"},"properties":{"noteIndex":0},"schema":"https://github.com/citation-style-language/schema/raw/master/csl-citation.json"}</w:instrText>
      </w:r>
      <w:r>
        <w:rPr>
          <w:rFonts w:ascii="Times New Roman" w:hAnsi="Times New Roman" w:cs="Times New Roman"/>
        </w:rPr>
        <w:fldChar w:fldCharType="separate"/>
      </w:r>
      <w:r w:rsidRPr="004168B8">
        <w:rPr>
          <w:rFonts w:ascii="Times New Roman" w:hAnsi="Times New Roman" w:cs="Times New Roman"/>
          <w:noProof/>
        </w:rPr>
        <w:t xml:space="preserve">Shishkina et al. </w:t>
      </w:r>
      <w:r>
        <w:rPr>
          <w:rFonts w:ascii="Times New Roman" w:hAnsi="Times New Roman" w:cs="Times New Roman"/>
          <w:noProof/>
        </w:rPr>
        <w:t>(</w:t>
      </w:r>
      <w:r w:rsidRPr="004168B8">
        <w:rPr>
          <w:rFonts w:ascii="Times New Roman" w:hAnsi="Times New Roman" w:cs="Times New Roman"/>
          <w:noProof/>
        </w:rPr>
        <w:t>2010)</w:t>
      </w:r>
      <w:r>
        <w:rPr>
          <w:rFonts w:ascii="Times New Roman" w:hAnsi="Times New Roman" w:cs="Times New Roman"/>
        </w:rPr>
        <w:fldChar w:fldCharType="end"/>
      </w:r>
      <w:r>
        <w:rPr>
          <w:rFonts w:ascii="Times New Roman" w:hAnsi="Times New Roman" w:cs="Times New Roman"/>
        </w:rPr>
        <w:t xml:space="preserve">; Hawaiian </w:t>
      </w:r>
      <w:r w:rsidR="000A3D09">
        <w:rPr>
          <w:rFonts w:ascii="Times New Roman" w:hAnsi="Times New Roman" w:cs="Times New Roman"/>
        </w:rPr>
        <w:t>from</w:t>
      </w:r>
      <w:r w:rsidR="000A3D09" w:rsidRPr="00DA7787">
        <w:rPr>
          <w:rFonts w:ascii="Times New Roman" w:hAnsi="Times New Roman" w:cs="Times New Roman"/>
        </w:rPr>
        <w:t xml:space="preserve"> </w:t>
      </w:r>
      <w:r w:rsidR="000A3D09" w:rsidRPr="00DA7787">
        <w:rPr>
          <w:rFonts w:ascii="Times New Roman" w:hAnsi="Times New Roman" w:cs="Times New Roman"/>
        </w:rPr>
        <w:fldChar w:fldCharType="begin"/>
      </w:r>
      <w:r w:rsidR="000A3D09" w:rsidRPr="00DA7787">
        <w:rPr>
          <w:rFonts w:ascii="Times New Roman" w:hAnsi="Times New Roman" w:cs="Times New Roman"/>
        </w:rPr>
        <w:instrText xml:space="preserve"> REF _Ref76325339 \h </w:instrText>
      </w:r>
      <w:r w:rsidR="000A3D09">
        <w:rPr>
          <w:rFonts w:ascii="Times New Roman" w:hAnsi="Times New Roman" w:cs="Times New Roman"/>
        </w:rPr>
        <w:instrText xml:space="preserve"> \* MERGEFORMAT </w:instrText>
      </w:r>
      <w:r w:rsidR="000A3D09" w:rsidRPr="00DA7787">
        <w:rPr>
          <w:rFonts w:ascii="Times New Roman" w:hAnsi="Times New Roman" w:cs="Times New Roman"/>
        </w:rPr>
      </w:r>
      <w:r w:rsidR="000A3D09" w:rsidRPr="00DA7787">
        <w:rPr>
          <w:rFonts w:ascii="Times New Roman" w:hAnsi="Times New Roman" w:cs="Times New Roman"/>
        </w:rPr>
        <w:fldChar w:fldCharType="separate"/>
      </w:r>
      <w:r w:rsidR="000A3D09" w:rsidRPr="00DE0684">
        <w:rPr>
          <w:rFonts w:ascii="Times New Roman" w:hAnsi="Times New Roman" w:cs="Times New Roman"/>
          <w:color w:val="000000" w:themeColor="text1"/>
        </w:rPr>
        <w:t>Table S</w:t>
      </w:r>
      <w:r w:rsidR="000A3D09" w:rsidRPr="00DE0684">
        <w:rPr>
          <w:rFonts w:ascii="Times New Roman" w:hAnsi="Times New Roman" w:cs="Times New Roman"/>
          <w:noProof/>
          <w:color w:val="000000" w:themeColor="text1"/>
        </w:rPr>
        <w:t>1</w:t>
      </w:r>
      <w:r w:rsidR="000A3D09" w:rsidRPr="00DA7787">
        <w:rPr>
          <w:rFonts w:ascii="Times New Roman" w:hAnsi="Times New Roman" w:cs="Times New Roman"/>
        </w:rPr>
        <w:fldChar w:fldCharType="end"/>
      </w:r>
      <w:r w:rsidR="000A3D09">
        <w:rPr>
          <w:rFonts w:ascii="Times New Roman" w:hAnsi="Times New Roman" w:cs="Times New Roman"/>
        </w:rPr>
        <w:t xml:space="preserve">; </w:t>
      </w:r>
      <w:r>
        <w:rPr>
          <w:rFonts w:ascii="Times New Roman" w:hAnsi="Times New Roman" w:cs="Times New Roman"/>
        </w:rPr>
        <w:t xml:space="preserve">and MORB </w:t>
      </w:r>
      <w:r w:rsidR="000A3D09">
        <w:rPr>
          <w:rFonts w:ascii="Times New Roman" w:hAnsi="Times New Roman" w:cs="Times New Roman"/>
        </w:rPr>
        <w:t>from</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Pr>
          <w:rFonts w:ascii="Cambria Math" w:hAnsi="Cambria Math" w:cs="Cambria Math"/>
        </w:rPr>
        <w:instrText>⋅</w:instrText>
      </w:r>
      <w:r>
        <w:rPr>
          <w:rFonts w:ascii="Times New Roman" w:hAnsi="Times New Roman" w:cs="Times New Roman"/>
        </w:rPr>
        <w:instrText>67±0</w:instrText>
      </w:r>
      <w:r>
        <w:rPr>
          <w:rFonts w:ascii="Cambria Math" w:hAnsi="Cambria Math" w:cs="Cambria Math"/>
        </w:rPr>
        <w:instrText>⋅</w:instrText>
      </w:r>
      <w:r>
        <w:rPr>
          <w:rFonts w:ascii="Times New Roman" w:hAnsi="Times New Roman" w:cs="Times New Roman"/>
        </w:rPr>
        <w:instrText>03, 0</w:instrText>
      </w:r>
      <w:r>
        <w:rPr>
          <w:rFonts w:ascii="Cambria Math" w:hAnsi="Cambria Math" w:cs="Cambria Math"/>
        </w:rPr>
        <w:instrText>⋅</w:instrText>
      </w:r>
      <w:r>
        <w:rPr>
          <w:rFonts w:ascii="Times New Roman" w:hAnsi="Times New Roman" w:cs="Times New Roman"/>
        </w:rPr>
        <w:instrText>62±0</w:instrText>
      </w:r>
      <w:r>
        <w:rPr>
          <w:rFonts w:ascii="Cambria Math" w:hAnsi="Cambria Math" w:cs="Cambria Math"/>
        </w:rPr>
        <w:instrText>⋅</w:instrText>
      </w:r>
      <w:r>
        <w:rPr>
          <w:rFonts w:ascii="Times New Roman" w:hAnsi="Times New Roman" w:cs="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Pr>
          <w:rFonts w:ascii="Cambria Math" w:hAnsi="Cambria Math" w:cs="Cambria Math"/>
        </w:rPr>
        <w:instrText>⋅</w:instrText>
      </w:r>
      <w:r>
        <w:rPr>
          <w:rFonts w:ascii="Times New Roman" w:hAnsi="Times New Roman" w:cs="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Pr>
          <w:rFonts w:ascii="Cambria Math" w:hAnsi="Cambria Math" w:cs="Cambria Math"/>
        </w:rPr>
        <w:instrText>⋅</w:instrText>
      </w:r>
      <w:r>
        <w:rPr>
          <w:rFonts w:ascii="Times New Roman" w:hAnsi="Times New Roman" w:cs="Times New Roman"/>
        </w:rPr>
        <w:instrText xml:space="preserve">5 p.p.m. Our revised determination of CO2 solubility is </w:instrText>
      </w:r>
      <w:r>
        <w:rPr>
          <w:rFonts w:ascii="Cambria Math" w:hAnsi="Cambria Math" w:cs="Cambria Math"/>
        </w:rPr>
        <w:instrText>∼</w:instrText>
      </w:r>
      <w:r>
        <w:rPr>
          <w:rFonts w:ascii="Times New Roman" w:hAnsi="Times New Roman" w:cs="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models","type":"article-journal","volume":"36"},"uris":["http://www.mendeley.com/documents/?uuid=2e9900bf-0994-3bf3-bbcb-76f8502edb39"]}],"mendeley":{"formattedCitation":"(Dixon et al., 1995)","manualFormatting":"Dixon et al. (1995)","plainTextFormattedCitation":"(Dixon et al., 1995)","previouslyFormattedCitation":"(Dixon et al., 1995)"},"properties":{"noteIndex":0},"schema":"https://github.com/citation-style-language/schema/raw/master/csl-citation.json"}</w:instrText>
      </w:r>
      <w:r>
        <w:rPr>
          <w:rFonts w:ascii="Times New Roman" w:hAnsi="Times New Roman" w:cs="Times New Roman"/>
        </w:rPr>
        <w:fldChar w:fldCharType="separate"/>
      </w:r>
      <w:r w:rsidRPr="00DE0684">
        <w:rPr>
          <w:rFonts w:ascii="Times New Roman" w:hAnsi="Times New Roman" w:cs="Times New Roman"/>
          <w:noProof/>
        </w:rPr>
        <w:t xml:space="preserve">Dixon et al. </w:t>
      </w:r>
      <w:r>
        <w:rPr>
          <w:rFonts w:ascii="Times New Roman" w:hAnsi="Times New Roman" w:cs="Times New Roman"/>
          <w:noProof/>
        </w:rPr>
        <w:t>(</w:t>
      </w:r>
      <w:r w:rsidRPr="00DE0684">
        <w:rPr>
          <w:rFonts w:ascii="Times New Roman" w:hAnsi="Times New Roman" w:cs="Times New Roman"/>
          <w:noProof/>
        </w:rPr>
        <w:t>1995)</w:t>
      </w:r>
      <w:r>
        <w:rPr>
          <w:rFonts w:ascii="Times New Roman" w:hAnsi="Times New Roman" w:cs="Times New Roman"/>
        </w:rPr>
        <w:fldChar w:fldCharType="end"/>
      </w:r>
      <w:r>
        <w:rPr>
          <w:rFonts w:ascii="Times New Roman" w:hAnsi="Times New Roman" w:cs="Times New Roman"/>
        </w:rPr>
        <w:t>.</w:t>
      </w:r>
    </w:p>
    <w:p w14:paraId="34E75E2E" w14:textId="77777777" w:rsidR="00AC4246" w:rsidRDefault="00AC4246" w:rsidP="00AC4246">
      <w:pPr>
        <w:ind w:firstLine="720"/>
        <w:jc w:val="both"/>
        <w:rPr>
          <w:rFonts w:ascii="Times New Roman" w:hAnsi="Times New Roman" w:cs="Times New Roman"/>
        </w:rPr>
      </w:pPr>
    </w:p>
    <w:p w14:paraId="2B14D81D" w14:textId="5EE6FDB9" w:rsidR="00AC4246" w:rsidRDefault="00AC4246" w:rsidP="00AC4246">
      <w:pPr>
        <w:jc w:val="both"/>
        <w:rPr>
          <w:rFonts w:ascii="Times New Roman" w:hAnsi="Times New Roman" w:cs="Times New Roman"/>
        </w:rPr>
      </w:pPr>
      <w:r>
        <w:rPr>
          <w:rFonts w:ascii="Times New Roman" w:hAnsi="Times New Roman" w:cs="Times New Roman"/>
        </w:rPr>
        <w:tab/>
        <w:t xml:space="preserve">As expected, the absolute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is a strong function of melt composition due to the strong dependence of carbonate solubility on melt composition (</w:t>
      </w:r>
      <w:r w:rsidRPr="00305E38">
        <w:rPr>
          <w:rFonts w:ascii="Times New Roman" w:hAnsi="Times New Roman" w:cs="Times New Roman"/>
        </w:rPr>
        <w:fldChar w:fldCharType="begin"/>
      </w:r>
      <w:r w:rsidRPr="00305E38">
        <w:rPr>
          <w:rFonts w:ascii="Times New Roman" w:hAnsi="Times New Roman" w:cs="Times New Roman"/>
        </w:rPr>
        <w:instrText xml:space="preserve"> REF _Ref121653415 \h  \* MERGEFORMAT </w:instrText>
      </w:r>
      <w:r w:rsidRPr="00305E38">
        <w:rPr>
          <w:rFonts w:ascii="Times New Roman" w:hAnsi="Times New Roman" w:cs="Times New Roman"/>
        </w:rPr>
      </w:r>
      <w:r w:rsidRPr="00305E38">
        <w:rPr>
          <w:rFonts w:ascii="Times New Roman" w:hAnsi="Times New Roman" w:cs="Times New Roman"/>
        </w:rPr>
        <w:fldChar w:fldCharType="separate"/>
      </w:r>
      <w:r w:rsidR="00F03988" w:rsidRPr="00147AF9">
        <w:rPr>
          <w:rFonts w:ascii="Times New Roman" w:hAnsi="Times New Roman" w:cs="Times New Roman"/>
          <w:color w:val="000000" w:themeColor="text1"/>
        </w:rPr>
        <w:t>Figure S15</w:t>
      </w:r>
      <w:r w:rsidRPr="00305E38">
        <w:rPr>
          <w:rFonts w:ascii="Times New Roman" w:hAnsi="Times New Roman" w:cs="Times New Roman"/>
        </w:rPr>
        <w:fldChar w:fldCharType="end"/>
      </w:r>
      <w:r w:rsidRPr="00305E38">
        <w:rPr>
          <w:rFonts w:ascii="Times New Roman" w:hAnsi="Times New Roman" w:cs="Times New Roman"/>
        </w:rPr>
        <w:t>a</w:t>
      </w:r>
      <w:r>
        <w:rPr>
          <w:rFonts w:ascii="Times New Roman" w:hAnsi="Times New Roman" w:cs="Times New Roman"/>
        </w:rPr>
        <w:t xml:space="preserve">). There is also an effect of melt composition on the position and magnitude of the </w:t>
      </w:r>
      <w:proofErr w:type="spellStart"/>
      <w:r>
        <w:rPr>
          <w:rFonts w:ascii="Times New Roman" w:hAnsi="Times New Roman" w:cs="Times New Roman"/>
        </w:rPr>
        <w:t>sulfur</w:t>
      </w:r>
      <w:proofErr w:type="spellEnd"/>
      <w:r>
        <w:rPr>
          <w:rFonts w:ascii="Times New Roman" w:hAnsi="Times New Roman" w:cs="Times New Roman"/>
        </w:rPr>
        <w:t xml:space="preserve"> solubility minimum and therefore its influence on </w:t>
      </w:r>
      <w:proofErr w:type="spellStart"/>
      <w:r w:rsidRPr="00A47E35">
        <w:rPr>
          <w:rFonts w:ascii="Times New Roman" w:hAnsi="Times New Roman" w:cs="Times New Roman"/>
        </w:rPr>
        <w:t>Δ</w:t>
      </w:r>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w:t>
      </w:r>
      <w:r w:rsidRPr="00305E38">
        <w:rPr>
          <w:rFonts w:ascii="Times New Roman" w:hAnsi="Times New Roman" w:cs="Times New Roman"/>
        </w:rPr>
        <w:fldChar w:fldCharType="begin"/>
      </w:r>
      <w:r w:rsidRPr="00305E38">
        <w:rPr>
          <w:rFonts w:ascii="Times New Roman" w:hAnsi="Times New Roman" w:cs="Times New Roman"/>
        </w:rPr>
        <w:instrText xml:space="preserve"> REF _Ref121653415 \h  \* MERGEFORMAT </w:instrText>
      </w:r>
      <w:r w:rsidRPr="00305E38">
        <w:rPr>
          <w:rFonts w:ascii="Times New Roman" w:hAnsi="Times New Roman" w:cs="Times New Roman"/>
        </w:rPr>
      </w:r>
      <w:r w:rsidRPr="00305E38">
        <w:rPr>
          <w:rFonts w:ascii="Times New Roman" w:hAnsi="Times New Roman" w:cs="Times New Roman"/>
        </w:rPr>
        <w:fldChar w:fldCharType="separate"/>
      </w:r>
      <w:r w:rsidR="00F03988" w:rsidRPr="00147AF9">
        <w:rPr>
          <w:rFonts w:ascii="Times New Roman" w:hAnsi="Times New Roman" w:cs="Times New Roman"/>
          <w:color w:val="000000" w:themeColor="text1"/>
        </w:rPr>
        <w:t>Figure S15</w:t>
      </w:r>
      <w:r w:rsidRPr="00305E38">
        <w:rPr>
          <w:rFonts w:ascii="Times New Roman" w:hAnsi="Times New Roman" w:cs="Times New Roman"/>
        </w:rPr>
        <w:fldChar w:fldCharType="end"/>
      </w:r>
      <w:r>
        <w:rPr>
          <w:rFonts w:ascii="Times New Roman" w:hAnsi="Times New Roman" w:cs="Times New Roman"/>
        </w:rPr>
        <w:t xml:space="preserve">b and c). This is due to changes in the carbonate, </w:t>
      </w:r>
      <w:proofErr w:type="spellStart"/>
      <w:r>
        <w:rPr>
          <w:rFonts w:ascii="Times New Roman" w:hAnsi="Times New Roman" w:cs="Times New Roman"/>
        </w:rPr>
        <w:t>sulfide</w:t>
      </w:r>
      <w:proofErr w:type="spellEnd"/>
      <w:r>
        <w:rPr>
          <w:rFonts w:ascii="Times New Roman" w:hAnsi="Times New Roman" w:cs="Times New Roman"/>
        </w:rPr>
        <w:t xml:space="preserve">, and </w:t>
      </w:r>
      <w:proofErr w:type="spellStart"/>
      <w:r>
        <w:rPr>
          <w:rFonts w:ascii="Times New Roman" w:hAnsi="Times New Roman" w:cs="Times New Roman"/>
        </w:rPr>
        <w:t>sulfate</w:t>
      </w:r>
      <w:proofErr w:type="spellEnd"/>
      <w:r>
        <w:rPr>
          <w:rFonts w:ascii="Times New Roman" w:hAnsi="Times New Roman" w:cs="Times New Roman"/>
        </w:rPr>
        <w:t xml:space="preserve"> solubilities due to the varying melt composition. However, the trends</w:t>
      </w:r>
      <w:r w:rsidR="00ED4756">
        <w:rPr>
          <w:rFonts w:ascii="Times New Roman" w:hAnsi="Times New Roman" w:cs="Times New Roman"/>
        </w:rPr>
        <w:t xml:space="preserve"> detailed in the main text are still expressed over this broad range of melt compositions that strongly effect carbonate, </w:t>
      </w:r>
      <w:proofErr w:type="spellStart"/>
      <w:r w:rsidR="00ED4756">
        <w:rPr>
          <w:rFonts w:ascii="Times New Roman" w:hAnsi="Times New Roman" w:cs="Times New Roman"/>
        </w:rPr>
        <w:t>sulfide</w:t>
      </w:r>
      <w:proofErr w:type="spellEnd"/>
      <w:r w:rsidR="00ED4756">
        <w:rPr>
          <w:rFonts w:ascii="Times New Roman" w:hAnsi="Times New Roman" w:cs="Times New Roman"/>
        </w:rPr>
        <w:t xml:space="preserve">, and </w:t>
      </w:r>
      <w:proofErr w:type="spellStart"/>
      <w:r w:rsidR="00ED4756">
        <w:rPr>
          <w:rFonts w:ascii="Times New Roman" w:hAnsi="Times New Roman" w:cs="Times New Roman"/>
        </w:rPr>
        <w:t>sulfate</w:t>
      </w:r>
      <w:proofErr w:type="spellEnd"/>
      <w:r w:rsidR="00ED4756">
        <w:rPr>
          <w:rFonts w:ascii="Times New Roman" w:hAnsi="Times New Roman" w:cs="Times New Roman"/>
        </w:rPr>
        <w:t xml:space="preserve"> solubility. This applies especially to</w:t>
      </w:r>
      <w:r>
        <w:rPr>
          <w:rFonts w:ascii="Times New Roman" w:hAnsi="Times New Roman" w:cs="Times New Roman"/>
        </w:rPr>
        <w:t xml:space="preserve">: (1) </w:t>
      </w:r>
      <w:r w:rsidR="00ED4756">
        <w:rPr>
          <w:rFonts w:ascii="Times New Roman" w:hAnsi="Times New Roman" w:cs="Times New Roman"/>
        </w:rPr>
        <w:t>the</w:t>
      </w:r>
      <w:r>
        <w:rPr>
          <w:rFonts w:ascii="Times New Roman" w:hAnsi="Times New Roman" w:cs="Times New Roman"/>
        </w:rPr>
        <w:t xml:space="preserve"> large increase in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at reducing conditions due to the build-up of insoluble C-O-H species, and (2) </w:t>
      </w:r>
      <w:r w:rsidR="00ED4756">
        <w:rPr>
          <w:rFonts w:ascii="Times New Roman" w:hAnsi="Times New Roman" w:cs="Times New Roman"/>
        </w:rPr>
        <w:t>the</w:t>
      </w:r>
      <w:r>
        <w:rPr>
          <w:rFonts w:ascii="Times New Roman" w:hAnsi="Times New Roman" w:cs="Times New Roman"/>
        </w:rPr>
        <w:t xml:space="preserve"> local maximum in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at intermediate </w:t>
      </w:r>
      <w:r w:rsidRPr="00DE0684">
        <w:rPr>
          <w:rFonts w:ascii="Times New Roman" w:hAnsi="Times New Roman" w:cs="Times New Roman"/>
          <w:i/>
          <w:iCs/>
        </w:rPr>
        <w:t>f</w:t>
      </w:r>
      <w:r w:rsidRPr="00DE0684">
        <w:rPr>
          <w:rFonts w:ascii="Times New Roman" w:hAnsi="Times New Roman" w:cs="Times New Roman"/>
          <w:vertAlign w:val="subscript"/>
        </w:rPr>
        <w:t>O2</w:t>
      </w:r>
      <w:r>
        <w:rPr>
          <w:rFonts w:ascii="Times New Roman" w:hAnsi="Times New Roman" w:cs="Times New Roman"/>
        </w:rPr>
        <w:t xml:space="preserve"> due to the </w:t>
      </w:r>
      <w:proofErr w:type="spellStart"/>
      <w:r>
        <w:rPr>
          <w:rFonts w:ascii="Times New Roman" w:hAnsi="Times New Roman" w:cs="Times New Roman"/>
        </w:rPr>
        <w:t>sulfur</w:t>
      </w:r>
      <w:proofErr w:type="spellEnd"/>
      <w:r>
        <w:rPr>
          <w:rFonts w:ascii="Times New Roman" w:hAnsi="Times New Roman" w:cs="Times New Roman"/>
        </w:rPr>
        <w:t xml:space="preserve"> solubility minimum. Hence, although the details do depend on melt composition, our results are generalisable to other basaltic compositions, including highly-alkalic compositions.</w:t>
      </w:r>
    </w:p>
    <w:p w14:paraId="712EDE53" w14:textId="77777777" w:rsidR="00AC4246" w:rsidRPr="00DE0684" w:rsidRDefault="00AC4246" w:rsidP="00AC4246">
      <w:pPr>
        <w:jc w:val="both"/>
        <w:rPr>
          <w:rFonts w:ascii="Times New Roman" w:hAnsi="Times New Roman"/>
        </w:rPr>
      </w:pPr>
    </w:p>
    <w:p w14:paraId="59B39C5D" w14:textId="77777777" w:rsidR="00AC4246" w:rsidRDefault="00AC4246" w:rsidP="00AC4246">
      <w:pPr>
        <w:keepNext/>
      </w:pPr>
      <w:r>
        <w:rPr>
          <w:noProof/>
        </w:rPr>
        <w:lastRenderedPageBreak/>
        <w:drawing>
          <wp:inline distT="0" distB="0" distL="0" distR="0" wp14:anchorId="782BF98E" wp14:editId="4A11B512">
            <wp:extent cx="5760000" cy="3514672"/>
            <wp:effectExtent l="0" t="0" r="0" b="3810"/>
            <wp:docPr id="14" name="Picture 14" descr="Graphical user interface, chart, application,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chart, application, histogram&#10;&#10;Description automatically generated"/>
                    <pic:cNvPicPr/>
                  </pic:nvPicPr>
                  <pic:blipFill rotWithShape="1">
                    <a:blip r:embed="rId23">
                      <a:extLst>
                        <a:ext uri="{28A0092B-C50C-407E-A947-70E740481C1C}">
                          <a14:useLocalDpi xmlns:a14="http://schemas.microsoft.com/office/drawing/2010/main" val="0"/>
                        </a:ext>
                      </a:extLst>
                    </a:blip>
                    <a:srcRect l="2141" t="12508" r="3466" b="5207"/>
                    <a:stretch/>
                  </pic:blipFill>
                  <pic:spPr bwMode="auto">
                    <a:xfrm>
                      <a:off x="0" y="0"/>
                      <a:ext cx="5760000" cy="3514672"/>
                    </a:xfrm>
                    <a:prstGeom prst="rect">
                      <a:avLst/>
                    </a:prstGeom>
                    <a:ln>
                      <a:noFill/>
                    </a:ln>
                    <a:extLst>
                      <a:ext uri="{53640926-AAD7-44D8-BBD7-CCE9431645EC}">
                        <a14:shadowObscured xmlns:a14="http://schemas.microsoft.com/office/drawing/2010/main"/>
                      </a:ext>
                    </a:extLst>
                  </pic:spPr>
                </pic:pic>
              </a:graphicData>
            </a:graphic>
          </wp:inline>
        </w:drawing>
      </w:r>
    </w:p>
    <w:p w14:paraId="1525285E" w14:textId="105F7342" w:rsidR="00500516" w:rsidRPr="00147AF9" w:rsidRDefault="00AC4246" w:rsidP="00EF2B89">
      <w:pPr>
        <w:pStyle w:val="Caption"/>
        <w:spacing w:after="0"/>
        <w:ind w:firstLine="0"/>
        <w:rPr>
          <w:i w:val="0"/>
          <w:iCs w:val="0"/>
          <w:color w:val="000000" w:themeColor="text1"/>
          <w:sz w:val="24"/>
          <w:szCs w:val="24"/>
        </w:rPr>
      </w:pPr>
      <w:bookmarkStart w:id="33" w:name="_Ref121653415"/>
      <w:r w:rsidRPr="00DE0684">
        <w:rPr>
          <w:color w:val="000000" w:themeColor="text1"/>
          <w:sz w:val="24"/>
          <w:szCs w:val="24"/>
        </w:rPr>
        <w:t>Figure S</w:t>
      </w:r>
      <w:r w:rsidRPr="00DE0684">
        <w:rPr>
          <w:color w:val="000000" w:themeColor="text1"/>
          <w:sz w:val="24"/>
          <w:szCs w:val="24"/>
        </w:rPr>
        <w:fldChar w:fldCharType="begin"/>
      </w:r>
      <w:r w:rsidRPr="00DE0684">
        <w:rPr>
          <w:color w:val="000000" w:themeColor="text1"/>
          <w:sz w:val="24"/>
          <w:szCs w:val="24"/>
        </w:rPr>
        <w:instrText xml:space="preserve"> SEQ Figure \* ARABIC </w:instrText>
      </w:r>
      <w:r w:rsidRPr="00DE0684">
        <w:rPr>
          <w:color w:val="000000" w:themeColor="text1"/>
          <w:sz w:val="24"/>
          <w:szCs w:val="24"/>
        </w:rPr>
        <w:fldChar w:fldCharType="separate"/>
      </w:r>
      <w:r w:rsidR="00F03988">
        <w:rPr>
          <w:noProof/>
          <w:color w:val="000000" w:themeColor="text1"/>
          <w:sz w:val="24"/>
          <w:szCs w:val="24"/>
        </w:rPr>
        <w:t>15</w:t>
      </w:r>
      <w:r w:rsidRPr="00DE0684">
        <w:rPr>
          <w:color w:val="000000" w:themeColor="text1"/>
          <w:sz w:val="24"/>
          <w:szCs w:val="24"/>
        </w:rPr>
        <w:fldChar w:fldCharType="end"/>
      </w:r>
      <w:bookmarkEnd w:id="33"/>
      <w:r w:rsidRPr="00DE0684">
        <w:rPr>
          <w:i w:val="0"/>
          <w:iCs w:val="0"/>
          <w:color w:val="000000" w:themeColor="text1"/>
          <w:sz w:val="24"/>
          <w:szCs w:val="24"/>
        </w:rPr>
        <w:t xml:space="preserve"> </w:t>
      </w:r>
      <w:r w:rsidR="00B25E21">
        <w:rPr>
          <w:i w:val="0"/>
          <w:iCs w:val="0"/>
          <w:color w:val="000000" w:themeColor="text1"/>
          <w:sz w:val="24"/>
          <w:szCs w:val="24"/>
        </w:rPr>
        <w:t>F</w:t>
      </w:r>
      <w:r w:rsidR="00B25E21" w:rsidRPr="00DE0684">
        <w:rPr>
          <w:i w:val="0"/>
          <w:iCs w:val="0"/>
          <w:color w:val="000000" w:themeColor="text1"/>
          <w:sz w:val="24"/>
          <w:szCs w:val="24"/>
        </w:rPr>
        <w:t xml:space="preserve">or a melt containing 3 </w:t>
      </w:r>
      <w:proofErr w:type="spellStart"/>
      <w:r w:rsidR="00B25E21" w:rsidRPr="00DE0684">
        <w:rPr>
          <w:i w:val="0"/>
          <w:iCs w:val="0"/>
          <w:color w:val="000000" w:themeColor="text1"/>
          <w:sz w:val="24"/>
          <w:szCs w:val="24"/>
        </w:rPr>
        <w:t>wt</w:t>
      </w:r>
      <w:proofErr w:type="spellEnd"/>
      <w:r w:rsidR="00B25E21" w:rsidRPr="00DE0684">
        <w:rPr>
          <w:i w:val="0"/>
          <w:iCs w:val="0"/>
          <w:color w:val="000000" w:themeColor="text1"/>
          <w:sz w:val="24"/>
          <w:szCs w:val="24"/>
        </w:rPr>
        <w:t>% H</w:t>
      </w:r>
      <w:r w:rsidR="00B25E21" w:rsidRPr="00DE0684">
        <w:rPr>
          <w:i w:val="0"/>
          <w:iCs w:val="0"/>
          <w:color w:val="000000" w:themeColor="text1"/>
          <w:sz w:val="24"/>
          <w:szCs w:val="24"/>
          <w:vertAlign w:val="subscript"/>
        </w:rPr>
        <w:t>2</w:t>
      </w:r>
      <w:r w:rsidR="00B25E21" w:rsidRPr="00DE0684">
        <w:rPr>
          <w:i w:val="0"/>
          <w:iCs w:val="0"/>
          <w:color w:val="000000" w:themeColor="text1"/>
          <w:sz w:val="24"/>
          <w:szCs w:val="24"/>
        </w:rPr>
        <w:t>O-eq, 1000 ppm CO</w:t>
      </w:r>
      <w:r w:rsidR="00B25E21" w:rsidRPr="00DE0684">
        <w:rPr>
          <w:i w:val="0"/>
          <w:iCs w:val="0"/>
          <w:color w:val="000000" w:themeColor="text1"/>
          <w:sz w:val="24"/>
          <w:szCs w:val="24"/>
          <w:vertAlign w:val="subscript"/>
        </w:rPr>
        <w:t>2</w:t>
      </w:r>
      <w:r w:rsidR="00B25E21" w:rsidRPr="00DE0684">
        <w:rPr>
          <w:i w:val="0"/>
          <w:iCs w:val="0"/>
          <w:color w:val="000000" w:themeColor="text1"/>
          <w:sz w:val="24"/>
          <w:szCs w:val="24"/>
        </w:rPr>
        <w:t>-eq, and 1000 ppm S-</w:t>
      </w:r>
      <w:proofErr w:type="spellStart"/>
      <w:r w:rsidR="00B25E21" w:rsidRPr="00DE0684">
        <w:rPr>
          <w:i w:val="0"/>
          <w:iCs w:val="0"/>
          <w:color w:val="000000" w:themeColor="text1"/>
          <w:sz w:val="24"/>
          <w:szCs w:val="24"/>
        </w:rPr>
        <w:t>eq</w:t>
      </w:r>
      <w:proofErr w:type="spellEnd"/>
      <w:r w:rsidR="00B25E21" w:rsidRPr="00DE0684">
        <w:rPr>
          <w:i w:val="0"/>
          <w:iCs w:val="0"/>
          <w:color w:val="000000" w:themeColor="text1"/>
          <w:sz w:val="24"/>
          <w:szCs w:val="24"/>
        </w:rPr>
        <w:t xml:space="preserve"> at 1200 °C for different melt compositions</w:t>
      </w:r>
      <w:r w:rsidR="00ED4756">
        <w:rPr>
          <w:i w:val="0"/>
          <w:iCs w:val="0"/>
          <w:color w:val="000000" w:themeColor="text1"/>
          <w:sz w:val="24"/>
          <w:szCs w:val="24"/>
        </w:rPr>
        <w:t xml:space="preserve"> and solubility functions as described in the text</w:t>
      </w:r>
      <w:r w:rsidR="00B25E21">
        <w:rPr>
          <w:i w:val="0"/>
          <w:iCs w:val="0"/>
          <w:color w:val="000000" w:themeColor="text1"/>
          <w:sz w:val="24"/>
          <w:szCs w:val="24"/>
        </w:rPr>
        <w:t>:</w:t>
      </w:r>
      <w:r w:rsidR="00B25E21" w:rsidRPr="00DE0684">
        <w:rPr>
          <w:b/>
          <w:bCs/>
          <w:i w:val="0"/>
          <w:iCs w:val="0"/>
          <w:color w:val="000000" w:themeColor="text1"/>
          <w:sz w:val="24"/>
          <w:szCs w:val="24"/>
        </w:rPr>
        <w:t xml:space="preserve"> </w:t>
      </w:r>
      <w:r w:rsidRPr="00DE0684">
        <w:rPr>
          <w:b/>
          <w:bCs/>
          <w:i w:val="0"/>
          <w:iCs w:val="0"/>
          <w:color w:val="000000" w:themeColor="text1"/>
          <w:sz w:val="24"/>
          <w:szCs w:val="24"/>
        </w:rPr>
        <w:t>(a)</w:t>
      </w:r>
      <w:r w:rsidRPr="00DE0684">
        <w:rPr>
          <w:i w:val="0"/>
          <w:iCs w:val="0"/>
          <w:color w:val="000000" w:themeColor="text1"/>
          <w:sz w:val="24"/>
          <w:szCs w:val="24"/>
        </w:rPr>
        <w:t xml:space="preserve"> </w:t>
      </w:r>
      <w:r w:rsidR="00B25E21">
        <w:rPr>
          <w:i w:val="0"/>
          <w:iCs w:val="0"/>
          <w:color w:val="000000" w:themeColor="text1"/>
          <w:sz w:val="24"/>
          <w:szCs w:val="24"/>
        </w:rPr>
        <w:t>p</w:t>
      </w:r>
      <w:r w:rsidRPr="00DE0684">
        <w:rPr>
          <w:i w:val="0"/>
          <w:iCs w:val="0"/>
          <w:color w:val="000000" w:themeColor="text1"/>
          <w:sz w:val="24"/>
          <w:szCs w:val="24"/>
        </w:rPr>
        <w:t>ressure of vapor saturation (</w:t>
      </w:r>
      <w:proofErr w:type="spellStart"/>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xml:space="preserve">) and </w:t>
      </w:r>
      <w:r w:rsidRPr="00DE0684">
        <w:rPr>
          <w:b/>
          <w:bCs/>
          <w:i w:val="0"/>
          <w:iCs w:val="0"/>
          <w:color w:val="000000" w:themeColor="text1"/>
          <w:sz w:val="24"/>
          <w:szCs w:val="24"/>
        </w:rPr>
        <w:t>(</w:t>
      </w:r>
      <w:proofErr w:type="spellStart"/>
      <w:r w:rsidRPr="00DE0684">
        <w:rPr>
          <w:b/>
          <w:bCs/>
          <w:i w:val="0"/>
          <w:iCs w:val="0"/>
          <w:color w:val="000000" w:themeColor="text1"/>
          <w:sz w:val="24"/>
          <w:szCs w:val="24"/>
        </w:rPr>
        <w:t>b,c</w:t>
      </w:r>
      <w:proofErr w:type="spellEnd"/>
      <w:r w:rsidRPr="00DE0684">
        <w:rPr>
          <w:b/>
          <w:bCs/>
          <w:i w:val="0"/>
          <w:iCs w:val="0"/>
          <w:color w:val="000000" w:themeColor="text1"/>
          <w:sz w:val="24"/>
          <w:szCs w:val="24"/>
        </w:rPr>
        <w:t>)</w:t>
      </w:r>
      <w:r w:rsidRPr="00DE0684">
        <w:rPr>
          <w:i w:val="0"/>
          <w:iCs w:val="0"/>
          <w:color w:val="000000" w:themeColor="text1"/>
          <w:sz w:val="24"/>
          <w:szCs w:val="24"/>
        </w:rPr>
        <w:t xml:space="preserve"> difference between </w:t>
      </w:r>
      <w:proofErr w:type="spellStart"/>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xml:space="preserve"> calculated using case 1 and 3 (</w:t>
      </w:r>
      <w:proofErr w:type="spellStart"/>
      <w:r w:rsidRPr="00DE0684">
        <w:rPr>
          <w:i w:val="0"/>
          <w:iCs w:val="0"/>
          <w:color w:val="000000" w:themeColor="text1"/>
          <w:sz w:val="24"/>
          <w:szCs w:val="24"/>
        </w:rPr>
        <w:t>Δ</w:t>
      </w:r>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against oxygen fugacity (</w:t>
      </w:r>
      <w:r w:rsidRPr="00DE0684">
        <w:rPr>
          <w:color w:val="000000" w:themeColor="text1"/>
          <w:sz w:val="24"/>
          <w:szCs w:val="24"/>
        </w:rPr>
        <w:t>f</w:t>
      </w:r>
      <w:r w:rsidRPr="00DE0684">
        <w:rPr>
          <w:i w:val="0"/>
          <w:iCs w:val="0"/>
          <w:color w:val="000000" w:themeColor="text1"/>
          <w:sz w:val="24"/>
          <w:szCs w:val="24"/>
          <w:vertAlign w:val="subscript"/>
        </w:rPr>
        <w:t>O2</w:t>
      </w:r>
      <w:r w:rsidRPr="00DE0684">
        <w:rPr>
          <w:i w:val="0"/>
          <w:iCs w:val="0"/>
          <w:color w:val="000000" w:themeColor="text1"/>
          <w:sz w:val="24"/>
          <w:szCs w:val="24"/>
        </w:rPr>
        <w:t>)</w:t>
      </w:r>
      <w:r w:rsidR="00ED4756">
        <w:rPr>
          <w:i w:val="0"/>
          <w:iCs w:val="0"/>
          <w:color w:val="000000" w:themeColor="text1"/>
          <w:sz w:val="24"/>
          <w:szCs w:val="24"/>
        </w:rPr>
        <w:t xml:space="preserve">, where </w:t>
      </w:r>
      <w:r w:rsidR="00ED4756" w:rsidRPr="00ED4756">
        <w:rPr>
          <w:b/>
          <w:bCs/>
          <w:i w:val="0"/>
          <w:iCs w:val="0"/>
          <w:color w:val="000000" w:themeColor="text1"/>
          <w:sz w:val="24"/>
          <w:szCs w:val="24"/>
        </w:rPr>
        <w:t>(c)</w:t>
      </w:r>
      <w:r w:rsidR="00ED4756">
        <w:rPr>
          <w:i w:val="0"/>
          <w:iCs w:val="0"/>
          <w:color w:val="000000" w:themeColor="text1"/>
          <w:sz w:val="24"/>
          <w:szCs w:val="24"/>
        </w:rPr>
        <w:t xml:space="preserve"> is a zoom in o</w:t>
      </w:r>
      <w:r w:rsidR="00F03988">
        <w:rPr>
          <w:i w:val="0"/>
          <w:iCs w:val="0"/>
          <w:color w:val="000000" w:themeColor="text1"/>
          <w:sz w:val="24"/>
          <w:szCs w:val="24"/>
        </w:rPr>
        <w:t>f</w:t>
      </w:r>
      <w:r w:rsidR="00ED4756">
        <w:rPr>
          <w:i w:val="0"/>
          <w:iCs w:val="0"/>
          <w:color w:val="000000" w:themeColor="text1"/>
          <w:sz w:val="24"/>
          <w:szCs w:val="24"/>
        </w:rPr>
        <w:t xml:space="preserve"> the dashed insert in </w:t>
      </w:r>
      <w:r w:rsidR="00ED4756" w:rsidRPr="00ED4756">
        <w:rPr>
          <w:b/>
          <w:bCs/>
          <w:i w:val="0"/>
          <w:iCs w:val="0"/>
          <w:color w:val="000000" w:themeColor="text1"/>
          <w:sz w:val="24"/>
          <w:szCs w:val="24"/>
        </w:rPr>
        <w:t>(b)</w:t>
      </w:r>
      <w:r w:rsidRPr="00DE0684">
        <w:rPr>
          <w:i w:val="0"/>
          <w:iCs w:val="0"/>
          <w:color w:val="000000" w:themeColor="text1"/>
          <w:sz w:val="24"/>
          <w:szCs w:val="24"/>
        </w:rPr>
        <w:t xml:space="preserve">: Hawaiian tholeiite (yellow solid), MORB (yellow dot), N72 basalt (yellow dash), SVFV (yellow dot-dash), Sunset Crater (red dash), Erebus (blue dot), Basanite (red dot), Etna (red solid), Vesuvius (blue solid), Leucite (blue dot-dash), and AH3 </w:t>
      </w:r>
      <w:proofErr w:type="spellStart"/>
      <w:r w:rsidRPr="00DE0684">
        <w:rPr>
          <w:i w:val="0"/>
          <w:iCs w:val="0"/>
          <w:color w:val="000000" w:themeColor="text1"/>
          <w:sz w:val="24"/>
          <w:szCs w:val="24"/>
        </w:rPr>
        <w:t>phonotephrite</w:t>
      </w:r>
      <w:proofErr w:type="spellEnd"/>
      <w:r w:rsidRPr="00DE0684">
        <w:rPr>
          <w:i w:val="0"/>
          <w:iCs w:val="0"/>
          <w:color w:val="000000" w:themeColor="text1"/>
          <w:sz w:val="24"/>
          <w:szCs w:val="24"/>
        </w:rPr>
        <w:t xml:space="preserve"> (blue dash). Details of the calculations are given in the text.</w:t>
      </w:r>
    </w:p>
    <w:p w14:paraId="72C702E7" w14:textId="77777777" w:rsidR="009C141B" w:rsidRPr="00372AD9" w:rsidRDefault="009C141B" w:rsidP="00987A11">
      <w:pPr>
        <w:ind w:firstLine="720"/>
        <w:jc w:val="both"/>
        <w:rPr>
          <w:rFonts w:ascii="Times New Roman" w:hAnsi="Times New Roman" w:cs="Times New Roman"/>
        </w:rPr>
      </w:pPr>
    </w:p>
    <w:p w14:paraId="60A2AFCB" w14:textId="77777777" w:rsidR="00372AD9" w:rsidRPr="00372AD9" w:rsidRDefault="00372AD9" w:rsidP="00372AD9">
      <w:pPr>
        <w:pStyle w:val="Heading2"/>
        <w:rPr>
          <w:rFonts w:ascii="Times New Roman" w:hAnsi="Times New Roman"/>
          <w:szCs w:val="24"/>
        </w:rPr>
      </w:pPr>
      <w:r w:rsidRPr="00372AD9">
        <w:rPr>
          <w:rFonts w:ascii="Times New Roman" w:hAnsi="Times New Roman"/>
          <w:szCs w:val="24"/>
        </w:rPr>
        <w:t>Effect of one volatile on the solubility of another volatile</w:t>
      </w:r>
    </w:p>
    <w:p w14:paraId="5C3EE698" w14:textId="0D5DE945" w:rsidR="00372AD9" w:rsidRDefault="00372AD9" w:rsidP="00147AF9">
      <w:pPr>
        <w:ind w:firstLine="720"/>
        <w:jc w:val="both"/>
        <w:rPr>
          <w:rFonts w:ascii="Times New Roman" w:hAnsi="Times New Roman" w:cs="Times New Roman"/>
        </w:rPr>
      </w:pPr>
      <w:r w:rsidRPr="00372AD9">
        <w:rPr>
          <w:rFonts w:ascii="Times New Roman" w:hAnsi="Times New Roman" w:cs="Times New Roman"/>
        </w:rPr>
        <w:t>An important feature of volatile solubilities is the possibility that the solubility of one volatile species can influence that of another. Our inclusion of the solubility of CH</w:t>
      </w:r>
      <w:proofErr w:type="gramStart"/>
      <w:r w:rsidRPr="00372AD9">
        <w:rPr>
          <w:rFonts w:ascii="Times New Roman" w:hAnsi="Times New Roman" w:cs="Times New Roman"/>
          <w:vertAlign w:val="subscript"/>
        </w:rPr>
        <w:t>4,mol</w:t>
      </w:r>
      <w:proofErr w:type="gramEnd"/>
      <w:r w:rsidRPr="00372AD9">
        <w:rPr>
          <w:rFonts w:ascii="Times New Roman" w:hAnsi="Times New Roman" w:cs="Times New Roman"/>
        </w:rPr>
        <w:t xml:space="preserve"> in the melt is one example of the mutual effects between H and C and how they can be readily incorporated in the approach we have taken to modelling volatile solubilities. We followed a similar approach in our treatment of the effects of H on S speciation and solubility by including H</w:t>
      </w:r>
      <w:r w:rsidRPr="00372AD9">
        <w:rPr>
          <w:rFonts w:ascii="Times New Roman" w:hAnsi="Times New Roman" w:cs="Times New Roman"/>
          <w:vertAlign w:val="subscript"/>
        </w:rPr>
        <w:t>2</w:t>
      </w:r>
      <w:r w:rsidRPr="00372AD9">
        <w:rPr>
          <w:rFonts w:ascii="Times New Roman" w:hAnsi="Times New Roman" w:cs="Times New Roman"/>
        </w:rPr>
        <w:t>S</w:t>
      </w:r>
      <w:r w:rsidRPr="00372AD9">
        <w:rPr>
          <w:rFonts w:ascii="Times New Roman" w:hAnsi="Times New Roman" w:cs="Times New Roman"/>
          <w:vertAlign w:val="subscript"/>
        </w:rPr>
        <w:t>mol</w:t>
      </w:r>
      <w:r w:rsidRPr="00372AD9">
        <w:rPr>
          <w:rFonts w:ascii="Times New Roman" w:hAnsi="Times New Roman" w:cs="Times New Roman"/>
        </w:rPr>
        <w:t xml:space="preserve"> in the melt (i.e., difference between case </w:t>
      </w:r>
      <w:r w:rsidR="00B25E21">
        <w:rPr>
          <w:rFonts w:ascii="Times New Roman" w:hAnsi="Times New Roman" w:cs="Times New Roman"/>
        </w:rPr>
        <w:t>3</w:t>
      </w:r>
      <w:r w:rsidR="00B25E21" w:rsidRPr="00372AD9">
        <w:rPr>
          <w:rFonts w:ascii="Times New Roman" w:hAnsi="Times New Roman" w:cs="Times New Roman"/>
        </w:rPr>
        <w:t xml:space="preserve"> </w:t>
      </w:r>
      <w:r w:rsidRPr="00372AD9">
        <w:rPr>
          <w:rFonts w:ascii="Times New Roman" w:hAnsi="Times New Roman" w:cs="Times New Roman"/>
        </w:rPr>
        <w:t xml:space="preserve">and </w:t>
      </w:r>
      <w:r w:rsidR="00B25E21">
        <w:rPr>
          <w:rFonts w:ascii="Times New Roman" w:hAnsi="Times New Roman" w:cs="Times New Roman"/>
        </w:rPr>
        <w:t>3’</w:t>
      </w:r>
      <w:r w:rsidRPr="00372AD9">
        <w:rPr>
          <w:rFonts w:ascii="Times New Roman" w:hAnsi="Times New Roman" w:cs="Times New Roman"/>
        </w:rPr>
        <w:t xml:space="preserve">). This example demonstrates the potential for such interactions to have significant effects on the speciation of S in the melt speciation and, in this case, on the </w:t>
      </w:r>
      <w:proofErr w:type="spellStart"/>
      <w:r w:rsidRPr="00372AD9">
        <w:rPr>
          <w:rFonts w:ascii="Times New Roman" w:hAnsi="Times New Roman" w:cs="Times New Roman"/>
        </w:rPr>
        <w:t>SS</w:t>
      </w:r>
      <w:r w:rsidRPr="00372AD9">
        <w:rPr>
          <w:rFonts w:ascii="Times New Roman" w:hAnsi="Times New Roman" w:cs="Times New Roman"/>
          <w:vertAlign w:val="superscript"/>
        </w:rPr>
        <w:t>min</w:t>
      </w:r>
      <w:proofErr w:type="spellEnd"/>
      <w:r w:rsidRPr="00372AD9">
        <w:rPr>
          <w:rFonts w:ascii="Times New Roman" w:hAnsi="Times New Roman" w:cs="Times New Roman"/>
        </w:rPr>
        <w:t xml:space="preserve">. Another possibly significant interaction between H and S speciation (and therefore solubility) could occur for dissolved </w:t>
      </w:r>
      <w:proofErr w:type="spellStart"/>
      <w:r w:rsidRPr="00372AD9">
        <w:rPr>
          <w:rFonts w:ascii="Times New Roman" w:hAnsi="Times New Roman" w:cs="Times New Roman"/>
        </w:rPr>
        <w:t>sulfate</w:t>
      </w:r>
      <w:proofErr w:type="spellEnd"/>
      <w:r w:rsidRPr="00372AD9">
        <w:rPr>
          <w:rFonts w:ascii="Times New Roman" w:hAnsi="Times New Roman" w:cs="Times New Roman"/>
        </w:rPr>
        <w:t xml:space="preserve"> species. For example, by analogy with how we treated the H</w:t>
      </w:r>
      <w:r w:rsidRPr="00372AD9">
        <w:rPr>
          <w:rFonts w:ascii="Times New Roman" w:hAnsi="Times New Roman" w:cs="Times New Roman"/>
          <w:vertAlign w:val="subscript"/>
        </w:rPr>
        <w:t>2</w:t>
      </w:r>
      <w:r w:rsidRPr="00372AD9">
        <w:rPr>
          <w:rFonts w:ascii="Times New Roman" w:hAnsi="Times New Roman" w:cs="Times New Roman"/>
        </w:rPr>
        <w:t>S component, H</w:t>
      </w:r>
      <w:r w:rsidRPr="00372AD9">
        <w:rPr>
          <w:rFonts w:ascii="Times New Roman" w:hAnsi="Times New Roman" w:cs="Times New Roman"/>
          <w:vertAlign w:val="subscript"/>
        </w:rPr>
        <w:t>2</w:t>
      </w:r>
      <w:r w:rsidRPr="00372AD9">
        <w:rPr>
          <w:rFonts w:ascii="Times New Roman" w:hAnsi="Times New Roman" w:cs="Times New Roman"/>
        </w:rPr>
        <w:t>O and SO</w:t>
      </w:r>
      <w:r w:rsidRPr="00372AD9">
        <w:rPr>
          <w:rFonts w:ascii="Times New Roman" w:hAnsi="Times New Roman" w:cs="Times New Roman"/>
          <w:vertAlign w:val="subscript"/>
        </w:rPr>
        <w:t>2</w:t>
      </w:r>
      <w:r w:rsidRPr="00372AD9">
        <w:rPr>
          <w:rFonts w:ascii="Times New Roman" w:hAnsi="Times New Roman" w:cs="Times New Roman"/>
        </w:rPr>
        <w:t xml:space="preserve"> in the vapor could react to produce an H</w:t>
      </w:r>
      <w:r w:rsidRPr="00372AD9">
        <w:rPr>
          <w:rFonts w:ascii="Times New Roman" w:hAnsi="Times New Roman" w:cs="Times New Roman"/>
          <w:vertAlign w:val="subscript"/>
        </w:rPr>
        <w:t>2</w:t>
      </w:r>
      <w:r w:rsidRPr="00372AD9">
        <w:rPr>
          <w:rFonts w:ascii="Times New Roman" w:hAnsi="Times New Roman" w:cs="Times New Roman"/>
        </w:rPr>
        <w:t>SO</w:t>
      </w:r>
      <w:r w:rsidRPr="00372AD9">
        <w:rPr>
          <w:rFonts w:ascii="Times New Roman" w:hAnsi="Times New Roman" w:cs="Times New Roman"/>
          <w:vertAlign w:val="subscript"/>
        </w:rPr>
        <w:t>3</w:t>
      </w:r>
      <w:r w:rsidRPr="00372AD9">
        <w:rPr>
          <w:rFonts w:ascii="Times New Roman" w:hAnsi="Times New Roman" w:cs="Times New Roman"/>
        </w:rPr>
        <w:t xml:space="preserve"> species in the vapor, the solubility of which in the melt could then quantified given an equilibrium constant for the reaction H</w:t>
      </w:r>
      <w:r w:rsidRPr="00372AD9">
        <w:rPr>
          <w:rFonts w:ascii="Times New Roman" w:hAnsi="Times New Roman" w:cs="Times New Roman"/>
          <w:vertAlign w:val="subscript"/>
        </w:rPr>
        <w:t>2</w:t>
      </w:r>
      <w:r w:rsidRPr="00372AD9">
        <w:rPr>
          <w:rFonts w:ascii="Times New Roman" w:hAnsi="Times New Roman" w:cs="Times New Roman"/>
        </w:rPr>
        <w:t>SO</w:t>
      </w:r>
      <w:r w:rsidRPr="00372AD9">
        <w:rPr>
          <w:rFonts w:ascii="Times New Roman" w:hAnsi="Times New Roman" w:cs="Times New Roman"/>
          <w:vertAlign w:val="subscript"/>
        </w:rPr>
        <w:t>3</w:t>
      </w:r>
      <w:r w:rsidRPr="00372AD9">
        <w:rPr>
          <w:rFonts w:ascii="Times New Roman" w:hAnsi="Times New Roman" w:cs="Times New Roman"/>
        </w:rPr>
        <w:t>(</w:t>
      </w:r>
      <w:r w:rsidRPr="00372AD9">
        <w:rPr>
          <w:rFonts w:ascii="Times New Roman" w:hAnsi="Times New Roman" w:cs="Times New Roman"/>
          <w:i/>
          <w:iCs/>
        </w:rPr>
        <w:t>v</w:t>
      </w:r>
      <w:r w:rsidRPr="00372AD9">
        <w:rPr>
          <w:rFonts w:ascii="Times New Roman" w:hAnsi="Times New Roman" w:cs="Times New Roman"/>
        </w:rPr>
        <w:t>) = H</w:t>
      </w:r>
      <w:r w:rsidRPr="00372AD9">
        <w:rPr>
          <w:rFonts w:ascii="Times New Roman" w:hAnsi="Times New Roman" w:cs="Times New Roman"/>
          <w:vertAlign w:val="subscript"/>
        </w:rPr>
        <w:t>2</w:t>
      </w:r>
      <w:r w:rsidRPr="00372AD9">
        <w:rPr>
          <w:rFonts w:ascii="Times New Roman" w:hAnsi="Times New Roman" w:cs="Times New Roman"/>
        </w:rPr>
        <w:t>SO</w:t>
      </w:r>
      <w:r w:rsidRPr="00372AD9">
        <w:rPr>
          <w:rFonts w:ascii="Times New Roman" w:hAnsi="Times New Roman" w:cs="Times New Roman"/>
          <w:vertAlign w:val="subscript"/>
        </w:rPr>
        <w:t>3</w:t>
      </w:r>
      <w:r w:rsidRPr="00372AD9">
        <w:rPr>
          <w:rFonts w:ascii="Times New Roman" w:hAnsi="Times New Roman" w:cs="Times New Roman"/>
        </w:rPr>
        <w:t>(</w:t>
      </w:r>
      <w:r w:rsidRPr="00372AD9">
        <w:rPr>
          <w:rFonts w:ascii="Times New Roman" w:hAnsi="Times New Roman" w:cs="Times New Roman"/>
          <w:i/>
          <w:iCs/>
        </w:rPr>
        <w:t>m</w:t>
      </w:r>
      <w:r w:rsidRPr="00372AD9">
        <w:rPr>
          <w:rFonts w:ascii="Times New Roman" w:hAnsi="Times New Roman" w:cs="Times New Roman"/>
        </w:rPr>
        <w:t xml:space="preserve">). In this case, the melt species would represent a hydrated </w:t>
      </w:r>
      <w:proofErr w:type="spellStart"/>
      <w:r w:rsidRPr="00372AD9">
        <w:rPr>
          <w:rFonts w:ascii="Times New Roman" w:hAnsi="Times New Roman" w:cs="Times New Roman"/>
        </w:rPr>
        <w:t>sulfate</w:t>
      </w:r>
      <w:proofErr w:type="spellEnd"/>
      <w:r w:rsidRPr="00372AD9">
        <w:rPr>
          <w:rFonts w:ascii="Times New Roman" w:hAnsi="Times New Roman" w:cs="Times New Roman"/>
        </w:rPr>
        <w:t xml:space="preserve"> species in the melt. Experiments have demonstrated that the </w:t>
      </w:r>
      <w:proofErr w:type="spellStart"/>
      <w:r w:rsidRPr="00372AD9">
        <w:rPr>
          <w:rFonts w:ascii="Times New Roman" w:hAnsi="Times New Roman" w:cs="Times New Roman"/>
        </w:rPr>
        <w:t>sulfate</w:t>
      </w:r>
      <w:proofErr w:type="spellEnd"/>
      <w:r w:rsidRPr="00372AD9">
        <w:rPr>
          <w:rFonts w:ascii="Times New Roman" w:hAnsi="Times New Roman" w:cs="Times New Roman"/>
        </w:rPr>
        <w:t xml:space="preserve"> content of melt at anhydrite saturation (a parameter closely related to </w:t>
      </w:r>
      <w:r w:rsidRPr="00372AD9">
        <w:rPr>
          <w:rFonts w:ascii="Times New Roman" w:hAnsi="Times New Roman" w:cs="Times New Roman"/>
          <w:i/>
          <w:iCs/>
        </w:rPr>
        <w:t>C</w:t>
      </w:r>
      <w:r w:rsidRPr="00372AD9">
        <w:rPr>
          <w:rFonts w:ascii="Times New Roman" w:hAnsi="Times New Roman" w:cs="Times New Roman"/>
          <w:vertAlign w:val="subscript"/>
        </w:rPr>
        <w:t>SO42-</w:t>
      </w:r>
      <w:r w:rsidRPr="00372AD9">
        <w:rPr>
          <w:rFonts w:ascii="Times New Roman" w:hAnsi="Times New Roman" w:cs="Times New Roman"/>
        </w:rPr>
        <w:t>) varies with H</w:t>
      </w:r>
      <w:r w:rsidRPr="00372AD9">
        <w:rPr>
          <w:rFonts w:ascii="Times New Roman" w:hAnsi="Times New Roman" w:cs="Times New Roman"/>
          <w:vertAlign w:val="subscript"/>
        </w:rPr>
        <w:t>2</w:t>
      </w:r>
      <w:r w:rsidRPr="00372AD9">
        <w:rPr>
          <w:rFonts w:ascii="Times New Roman" w:hAnsi="Times New Roman" w:cs="Times New Roman"/>
        </w:rPr>
        <w:t>O</w:t>
      </w:r>
      <w:r w:rsidRPr="00372AD9">
        <w:rPr>
          <w:rFonts w:ascii="Times New Roman" w:hAnsi="Times New Roman" w:cs="Times New Roman"/>
          <w:vertAlign w:val="subscript"/>
        </w:rPr>
        <w:t>T</w:t>
      </w:r>
      <w:r w:rsidRPr="00372AD9">
        <w:rPr>
          <w:rFonts w:ascii="Times New Roman" w:hAnsi="Times New Roman" w:cs="Times New Roman"/>
        </w:rPr>
        <w:t xml:space="preserve"> </w:t>
      </w:r>
      <w:r w:rsidR="00AF6D15">
        <w:rPr>
          <w:rFonts w:ascii="Times New Roman" w:hAnsi="Times New Roman" w:cs="Times New Roman"/>
        </w:rPr>
        <w:fldChar w:fldCharType="begin" w:fldLock="1"/>
      </w:r>
      <w:r w:rsidR="00AF6D15">
        <w:rPr>
          <w:rFonts w:ascii="Times New Roman" w:hAnsi="Times New Roman" w:cs="Times New Roman"/>
        </w:rPr>
        <w:instrText>ADDIN CSL_CITATION {"citationItems":[{"id":"ITEM-1","itemData":{"DOI":"10.1016/J.CHEMGEO.2019.05.020","ISSN":"0009-2541","abstract":"To add to our understanding of sulfur cycle in subduction zones in general and constrain the effects of slab-released sulfate (SO42−) on the magma genesis and sulfur transport from sub-arc mantle to the arc volcanoes in particular we carried out an experimental study. High pressure-temperature, piston-cylinder experiments were carried out in Au-Pd capsules at 0.5–3 GPa and 1050–1325 °C to investigate (a) the effect of variable sulfur concentration from 0 to ~2 wt%, dissolved as SO42− on the stability field of a primary arc basalt with ~4 wt% H2O and determine (b) the sulfur content at anhydrite saturation (SCAS) of hydrous mafic magmas. Speciation of sulfur in the silicate melt was confirmed to be SO42− by S Kα X-ray peak position using electron microprobe. S-free hydrous clinopyroxene liquidus at 2 GPa is ~25 °C hotter than the hydrous clinopyroxene liquidus with ~0.1 wt% S in the liquidus melt as SO42− and the liquidus depression with further S-enrichment to anhydrite saturation (~2 wt% S) can be fitted by a power function ΔT (°C) = 26.52(±3.48)(Smelt in wt%)0.24(±0.06). Anhydrite-saturated experiments show that SCAS increases with increasing temperature and CaO content of melt and decreases with increasing SiO2 content of the melt. Previous SCAS models based mostly on lower P-T experiments and/or on silicic melt compositions can't capture our new experimental SCAS data. A new SCAS parameterization was developed using previous and our new experimental data. Calculations using our new parameterization and assuming 200–500 ppm S in the arc mantle show that &lt;10% hydrous melting of mantle wedge would exhaust anhydrite, if present. Therefore, anhydrite even if present is expected to be exhausted by partial melting in the mantle wedge and parental basaltic melt will extract similar amount of S via mantle melting irrespective of the presence of sulfide or sulfate at subsolidus conditions. The S content, as dissolved SO42−, of hydrous arc basalts produced by 10–30% melting will be 500–4000 ppm, which is comparable to the melt inclusion S contents from various arcs. The sulfate undersaturated basalts may assimilate crustal sulfate and lead to high observed SO2 flux at the arcs, known as the “excess S”.","author":[{"dropping-particle":"","family":"Chowdhury","given":"Proteek","non-dropping-particle":"","parse-names":false,"suffix":""},{"dropping-particle":"","family":"Dasgupta","given":"Rajdeep","non-dropping-particle":"","parse-names":false,"suffix":""}],"container-title":"Chemical Geology","id":"ITEM-1","issued":{"date-parts":[["2019","9","20"]]},"page":"162-174","publisher":"Elsevier","title":"Effect of sulfate on the basaltic liquidus and Sulfur Concentration at Anhydrite Saturation (SCAS) of hydrous basalts – Implications for sulfur cycle in subduction zones","type":"article-journal","volume":"522"},"uris":["http://www.mendeley.com/documents/?uuid=199350fe-e46d-303a-b80f-f6d7a3be9e4c"]},{"id":"ITEM-2","itemData":{"DOI":"10.1016/J.GCA.2019.07.007","ISSN":"0016-7037","abstract":"Magmatic sulfur is an essential constituent for the genesis of porphyry-type ore deposits and also significantly affects the Earth’s climate when emitted into the atmosphere. As an increasing number of studies indicate that anhydrite commonly occurs as primary igneous mineral in arc magmas, any quantitative model aiming to assess the efficiency of sulfur degassing from magmas must take the potential presence of anhydrite into account. To facilitate this, we present a new empirical model to predict the solubility of anhydrite in silicate melts as a function of pressure (P), temperature (T) and silicate melt composition. The model is based on 189 experimental data points, encompassing T from 750 to 1325 °C, P from 30 to 3000 MPa and basaltic to rhyolitic melt compositions. Fifteen of these experiments were conducted as part of this study in rapid-quench Molybdenum – Hafnium Carbide pressure vessel assemblies to obtain tighter constraints on the effect of water concentration, P and T on anhydrite solubility. These experiments show that anhydrite solubility in the silicate melt rapidly increases with increasing T following Arrhenius relationship. The solubility of anhydrite also increases with increasing dissolved water concentration, with the relative increase being the most significant for felsic melt compositions. The new model predicts sulfur concentration at anhydrite saturation (SCAS) in the silicate melt with median and mean absolute percentage errors of 19 and 25 relative%, respectively. The model is equally successful over the entire P, T and compositional space included in its calibration. This is a significant improvement over most previously published models, which were calibrated based on a more limited P, T and compositional range, and predict SCAS with significantly larger errors when applied to the entire dataset utilized in this study. The implementation of the new anhydrite saturation model in an example scenario of the crystallization of a hydrous andesite magma at P = 200 MPa suggests that anhydrite saturation may severely limit the amount of S that can be transferred into the exsolving magmatic volatile phase during crystallization-driven degassing of upper crustal magma reservoirs.","author":[{"dropping-particle":"","family":"Zajacz","given":"Zoltán","non-dropping-particle":"","parse-names":false,"suffix":""},{"dropping-particle":"","family":"Tsay","given":"Alexandra","non-dropping-particle":"","parse-names":false,"suffix":""}],"container-title":"Geochimica et Cosmochimica Acta","id":"ITEM-2","issued":{"date-parts":[["2019","9","15"]]},"page":"288-304","publisher":"Pergamon","title":"An accurate model to predict sulfur concentration at anhydrite saturation in silicate melts","type":"article-journal","volume":"261"},"uris":["http://www.mendeley.com/documents/?uuid=c8828b9e-18da-3ad3-899b-e9a35c01542e"]}],"mendeley":{"formattedCitation":"(Chowdhury and Dasgupta, 2019; Zajacz and Tsay, 2019)","manualFormatting":"(e.g., Chowdhury and Dasgupta, 2019; Zajacz and Tsay, 2019)","plainTextFormattedCitation":"(Chowdhury and Dasgupta, 2019; Zajacz and Tsay, 2019)","previouslyFormattedCitation":"(Chowdhury and Dasgupta, 2019; Zajacz and Tsay, 2019)"},"properties":{"noteIndex":0},"schema":"https://github.com/citation-style-language/schema/raw/master/csl-citation.json"}</w:instrText>
      </w:r>
      <w:r w:rsidR="00AF6D15">
        <w:rPr>
          <w:rFonts w:ascii="Times New Roman" w:hAnsi="Times New Roman" w:cs="Times New Roman"/>
        </w:rPr>
        <w:fldChar w:fldCharType="separate"/>
      </w:r>
      <w:r w:rsidR="00AF6D15" w:rsidRPr="00AF6D15">
        <w:rPr>
          <w:rFonts w:ascii="Times New Roman" w:hAnsi="Times New Roman" w:cs="Times New Roman"/>
          <w:noProof/>
        </w:rPr>
        <w:t>(</w:t>
      </w:r>
      <w:r w:rsidR="00AF6D15">
        <w:rPr>
          <w:rFonts w:ascii="Times New Roman" w:hAnsi="Times New Roman" w:cs="Times New Roman"/>
          <w:noProof/>
        </w:rPr>
        <w:t xml:space="preserve">e.g., </w:t>
      </w:r>
      <w:r w:rsidR="00AF6D15" w:rsidRPr="00AF6D15">
        <w:rPr>
          <w:rFonts w:ascii="Times New Roman" w:hAnsi="Times New Roman" w:cs="Times New Roman"/>
          <w:noProof/>
        </w:rPr>
        <w:t>Chowdhury and Dasgupta, 2019; Zajacz and Tsay, 2019)</w:t>
      </w:r>
      <w:r w:rsidR="00AF6D15">
        <w:rPr>
          <w:rFonts w:ascii="Times New Roman" w:hAnsi="Times New Roman" w:cs="Times New Roman"/>
        </w:rPr>
        <w:fldChar w:fldCharType="end"/>
      </w:r>
      <w:r w:rsidRPr="00372AD9">
        <w:rPr>
          <w:rFonts w:ascii="Times New Roman" w:hAnsi="Times New Roman" w:cs="Times New Roman"/>
        </w:rPr>
        <w:t>, which suggests that H</w:t>
      </w:r>
      <w:r w:rsidR="00987A11">
        <w:rPr>
          <w:rFonts w:ascii="Times New Roman" w:hAnsi="Times New Roman" w:cs="Times New Roman"/>
        </w:rPr>
        <w:t>-</w:t>
      </w:r>
      <w:r w:rsidRPr="00372AD9">
        <w:rPr>
          <w:rFonts w:ascii="Times New Roman" w:hAnsi="Times New Roman" w:cs="Times New Roman"/>
        </w:rPr>
        <w:t xml:space="preserve"> and SO</w:t>
      </w:r>
      <w:r w:rsidRPr="00372AD9">
        <w:rPr>
          <w:rFonts w:ascii="Times New Roman" w:hAnsi="Times New Roman" w:cs="Times New Roman"/>
          <w:vertAlign w:val="subscript"/>
        </w:rPr>
        <w:t>4</w:t>
      </w:r>
      <w:r w:rsidRPr="00372AD9">
        <w:rPr>
          <w:rFonts w:ascii="Times New Roman" w:hAnsi="Times New Roman" w:cs="Times New Roman"/>
          <w:vertAlign w:val="superscript"/>
        </w:rPr>
        <w:t>2</w:t>
      </w:r>
      <w:r w:rsidRPr="00372AD9">
        <w:rPr>
          <w:rFonts w:ascii="Times New Roman" w:hAnsi="Times New Roman" w:cs="Times New Roman"/>
          <w:vertAlign w:val="superscript"/>
        </w:rPr>
        <w:noBreakHyphen/>
      </w:r>
      <w:r w:rsidR="00987A11">
        <w:rPr>
          <w:rFonts w:ascii="Times New Roman" w:hAnsi="Times New Roman" w:cs="Times New Roman"/>
        </w:rPr>
        <w:t>-</w:t>
      </w:r>
      <w:r w:rsidRPr="00372AD9">
        <w:rPr>
          <w:rFonts w:ascii="Times New Roman" w:hAnsi="Times New Roman" w:cs="Times New Roman"/>
        </w:rPr>
        <w:t xml:space="preserve">bearing species are interacting in the melt. However, we have not included such phenomena in our </w:t>
      </w:r>
      <w:proofErr w:type="spellStart"/>
      <w:r w:rsidRPr="00372AD9">
        <w:rPr>
          <w:rFonts w:ascii="Times New Roman" w:hAnsi="Times New Roman" w:cs="Times New Roman"/>
        </w:rPr>
        <w:t>modeling</w:t>
      </w:r>
      <w:proofErr w:type="spellEnd"/>
      <w:r w:rsidRPr="00372AD9">
        <w:rPr>
          <w:rFonts w:ascii="Times New Roman" w:hAnsi="Times New Roman" w:cs="Times New Roman"/>
        </w:rPr>
        <w:t xml:space="preserve"> given the limited experimental data on this effect </w:t>
      </w:r>
      <w:r w:rsidR="00AF6D15">
        <w:rPr>
          <w:rFonts w:ascii="Times New Roman" w:hAnsi="Times New Roman" w:cs="Times New Roman"/>
        </w:rPr>
        <w:lastRenderedPageBreak/>
        <w:fldChar w:fldCharType="begin" w:fldLock="1"/>
      </w:r>
      <w:r w:rsidR="008B2CAC">
        <w:rPr>
          <w:rFonts w:ascii="Times New Roman" w:hAnsi="Times New Roman" w:cs="Times New Roman"/>
        </w:rPr>
        <w:instrText>ADDIN CSL_CITATION {"citationItems":[{"id":"ITEM-1","itemData":{"DOI":"10.1144/GSL.SP.2003.213.01.06","ISSN":"0305-8719","abstract":"The behaviour of volatile components in magmas is crucial for magmatic and volcanic processes, from the deep regions of magma generation and storage to the shallow regions of magma eruption and emplacement. Water, carbon dioxide, and sulphur compounds are the main volatile components in natural magmas, generally comprising more than 99% of the volcanic gases released before, during, and after eruption. We have set up a method to calculate the chemical equilibrium between a fluid phase in the C-O-H-S system and a silicate liquid with a composition defined by ten major oxides. The method is based on previous models for the saturation of H2O-CO2 fluids (Papale 1997, 1999) and sulphur solubility (Moretti 2002) in silicate liquids, and for the fugacities of components in fluids with complex composition (Belonoshko et al. 1992). The model calculations provide estimates of the partitioning of H2O, CO2 and S between the silicate liquid and the coexisting fluid, and the composition of the fluid phase in terms of H2O, CO2, SO2, and H2S, as a function of pressure, temperature, volatile-free liquid composition, oxygen fugacity, and total amount of each volatile component in the system. Model calculations are presented for silicate liquids with tholeiitic and rhyolitic composition, oxygen fugacities in the NNO ± 2 range, and pressures from a few hundred MPa to atmospheric, with the simplifying assumption that no reduced or oxidized sulphur-bearing solid or liquid phases nucleate or separate from the liquid-gas system. The results are in good agreement with the bulk of experimental data from the literature, and show the well-known minima in sulphur saturation contents as a function of oxygen fugacity, the mutual effects of volatiles on their saturation contents, and the complex relationships between the saturation surface of multi-component fluids and the liquid composition, volatile abundance, and pressure-temperature-oxygen fugacity conditions. The new model therefore represents a powerful tool for the prediction of multi-component gas-liquid equilibria in natural magmatic systems, for the simulation of magmatic and volcanic processes, and for the interpretation of data on the degassing of magma bodies and composition of volcanic plumes, provided that the assumptions on which the model rests, first of all that no separation of additional S-bearing phases occurs, are satisfied.","author":[{"dropping-particle":"","family":"Moretti","given":"Roberto","non-dropping-particle":"","parse-names":false,"suffix":""},{"dropping-particle":"","family":"Papale","given":"P.","non-dropping-particle":"","parse-names":false,"suffix":""},{"dropping-particle":"","family":"Ottonello","given":"G.","non-dropping-particle":"","parse-names":false,"suffix":""}],"container-title":"Geological Society, London, Special Publications","id":"ITEM-1","issue":"1","issued":{"date-parts":[["2003","1","1"]]},"page":"81-101","publisher":"Geological Society of London","title":"A model for the saturation of C-O-H-S fluids in silicate melts","type":"article-journal","volume":"213"},"uris":["http://www.mendeley.com/documents/?uuid=ceced14d-9ab5-3861-9ff3-fb06ba40f10f"]}],"mendeley":{"formattedCitation":"(Moretti et al., 2003)","manualFormatting":"(e.g., Moretti et al., 2003)","plainTextFormattedCitation":"(Moretti et al., 2003)","previouslyFormattedCitation":"(Moretti et al., 2003)"},"properties":{"noteIndex":0},"schema":"https://github.com/citation-style-language/schema/raw/master/csl-citation.json"}</w:instrText>
      </w:r>
      <w:r w:rsidR="00AF6D15">
        <w:rPr>
          <w:rFonts w:ascii="Times New Roman" w:hAnsi="Times New Roman" w:cs="Times New Roman"/>
        </w:rPr>
        <w:fldChar w:fldCharType="separate"/>
      </w:r>
      <w:r w:rsidR="00AF6D15" w:rsidRPr="00AF6D15">
        <w:rPr>
          <w:rFonts w:ascii="Times New Roman" w:hAnsi="Times New Roman" w:cs="Times New Roman"/>
          <w:noProof/>
        </w:rPr>
        <w:t>(</w:t>
      </w:r>
      <w:r w:rsidR="00AF6D15">
        <w:rPr>
          <w:rFonts w:ascii="Times New Roman" w:hAnsi="Times New Roman" w:cs="Times New Roman"/>
          <w:noProof/>
        </w:rPr>
        <w:t xml:space="preserve">e.g., </w:t>
      </w:r>
      <w:r w:rsidR="00AF6D15" w:rsidRPr="00AF6D15">
        <w:rPr>
          <w:rFonts w:ascii="Times New Roman" w:hAnsi="Times New Roman" w:cs="Times New Roman"/>
          <w:noProof/>
        </w:rPr>
        <w:t>Moretti et al., 2003)</w:t>
      </w:r>
      <w:r w:rsidR="00AF6D15">
        <w:rPr>
          <w:rFonts w:ascii="Times New Roman" w:hAnsi="Times New Roman" w:cs="Times New Roman"/>
        </w:rPr>
        <w:fldChar w:fldCharType="end"/>
      </w:r>
      <w:r w:rsidRPr="00372AD9">
        <w:rPr>
          <w:rFonts w:ascii="Times New Roman" w:hAnsi="Times New Roman" w:cs="Times New Roman"/>
        </w:rPr>
        <w:t>.</w:t>
      </w:r>
      <w:r w:rsidR="00B1743B">
        <w:rPr>
          <w:rFonts w:ascii="Times New Roman" w:hAnsi="Times New Roman" w:cs="Times New Roman"/>
        </w:rPr>
        <w:t xml:space="preserve"> </w:t>
      </w:r>
      <w:proofErr w:type="spellStart"/>
      <w:r w:rsidR="00B1743B">
        <w:rPr>
          <w:rFonts w:ascii="Times New Roman" w:hAnsi="Times New Roman" w:cs="Times New Roman"/>
        </w:rPr>
        <w:t>Sulfur</w:t>
      </w:r>
      <w:proofErr w:type="spellEnd"/>
      <w:r w:rsidR="00B1743B">
        <w:rPr>
          <w:rFonts w:ascii="Times New Roman" w:hAnsi="Times New Roman" w:cs="Times New Roman"/>
        </w:rPr>
        <w:t xml:space="preserve"> has been experimentally shown to effect CO</w:t>
      </w:r>
      <w:r w:rsidR="00B1743B" w:rsidRPr="00B1743B">
        <w:rPr>
          <w:rFonts w:ascii="Times New Roman" w:hAnsi="Times New Roman" w:cs="Times New Roman"/>
          <w:vertAlign w:val="subscript"/>
        </w:rPr>
        <w:t>2</w:t>
      </w:r>
      <w:r w:rsidR="00B1743B">
        <w:rPr>
          <w:rFonts w:ascii="Times New Roman" w:hAnsi="Times New Roman" w:cs="Times New Roman"/>
        </w:rPr>
        <w:t xml:space="preserve"> solubility </w:t>
      </w:r>
      <w:r w:rsidR="00B1743B">
        <w:rPr>
          <w:rFonts w:ascii="Times New Roman" w:hAnsi="Times New Roman" w:cs="Times New Roman"/>
        </w:rPr>
        <w:fldChar w:fldCharType="begin" w:fldLock="1"/>
      </w:r>
      <w:r w:rsidR="0042431E">
        <w:rPr>
          <w:rFonts w:ascii="Times New Roman" w:hAnsi="Times New Roman" w:cs="Times New Roman"/>
        </w:rPr>
        <w:instrText>ADDIN CSL_CITATION {"citationItems":[{"id":"ITEM-1","itemData":{"DOI":"10.1007/S00410-011-0628-1/FIGURES/8","ISSN":"00107999","abstract":"Hydrothermal volatile-solubility and partitioning experiments were conducted with fluid-saturated haplogranitic melt, H2O, CO2, and S in an internally heated pressure vessel at 900°C and 200 MPa; three additional experiments were conducted with iron-bearing melt. The run-product glasses were analyzed by electron microprobe, FTIR, and SIMS; and they contain ≤0.12 wt% S, ≤0.097 wt% CO2, and ≤6.4 wt% H2O. Apparent values of log fO2 for the experiments at run conditions were computed from the [(S6+)/(S6++S2-)] ratio of the glasses, and they range from NNO -0. 4 to NNO + 1.4. The C-O-H-S fluid compositions at run conditions were computed by mass balance, and they contained 22-99 mol% H2O, 0-78 mol% CO2, 0-12 mol% S, and &lt;3 wt% alkalis. Eight S-free experiments were conducted to determine the H2O and CO2 concentrations of melt and fluid compositions and to compare them with prior experimental results for C-O-H fluid-saturated rhyolite melt, and the agreement is excellent. Sulfur partitions very strongly in favor of fluid in all experiments, and the presence of S modifies the fluid compositions, and hence, the CO2 solubilities in coexisting felsic melt. The square of the mole fraction of H2O in melt increases in a linear fashion, from 0.05 to 0.25, with the H2O concentration of the fluid. The mole fraction of CO2 in melt increases linearly, from 0.0003 to 0.0045, with the CO2 concentration of C-O-H-S fluids. Interestingly, the CO2 concentration in melts, involving relatively reduced runs (log fO2 ≤ NNO + 0.3) that contain 2.5-7 mol% S in the fluid, decreases significantly with increasing S in the system. This response to the changing fluid composition causes the H2O and CO2 solubility curve for C-O-H-S fluid-saturated haplogranitic melts at 200 MPa to shift to values near that modeled for C-O-H fluid-saturated, S-free rhyolite melt at 150 MPa. The concentration of S in haplogranitic melt increases in a linear fashion with increasing S in C-O-H-S fluids, but these data show significant dispersion that likely reflects the strong influence of fO2 on S speciation in melt and fluid. Importantly, the partitioning of S between fluid and melt does not vary with the (H2O/H2O + CO2) ratio of the fluid. The fluid-melt partition coefficients for H2O, CO2, and S and the atomic (C/S) ratios of the run-product fluids are virtually identical to thermodynamic constraints on volatile partitioning and the H, S, and C contents of pre-eruptive magmatic fluids and volcanic gases fo…","author":[{"dropping-particle":"","family":"Webster","given":"J. D.","non-dropping-particle":"","parse-names":false,"suffix":""},{"dropping-particle":"","family":"Goldoff","given":"B.","non-dropping-particle":"","parse-names":false,"suffix":""},{"dropping-particle":"","family":"Shimizu","given":"N.","non-dropping-particle":"","parse-names":false,"suffix":""}],"container-title":"Contributions to Mineralogy and Petrology","id":"ITEM-1","issue":"4","issued":{"date-parts":[["2011","10","3"]]},"page":"849-865","publisher":"Springer","title":"C-O-H-S fluids and granitic magma: How S partitions and modifies CO2 concentrations of fluid-saturated felsic melt at 200 MPa","type":"article-journal","volume":"162"},"uris":["http://www.mendeley.com/documents/?uuid=a2543d93-5323-3a44-b9ae-01a80220731d"]}],"mendeley":{"formattedCitation":"(Webster et al., 2011)","plainTextFormattedCitation":"(Webster et al., 2011)","previouslyFormattedCitation":"(Webster et al., 2011)"},"properties":{"noteIndex":0},"schema":"https://github.com/citation-style-language/schema/raw/master/csl-citation.json"}</w:instrText>
      </w:r>
      <w:r w:rsidR="00B1743B">
        <w:rPr>
          <w:rFonts w:ascii="Times New Roman" w:hAnsi="Times New Roman" w:cs="Times New Roman"/>
        </w:rPr>
        <w:fldChar w:fldCharType="separate"/>
      </w:r>
      <w:r w:rsidR="00B1743B" w:rsidRPr="00B1743B">
        <w:rPr>
          <w:rFonts w:ascii="Times New Roman" w:hAnsi="Times New Roman" w:cs="Times New Roman"/>
          <w:noProof/>
        </w:rPr>
        <w:t>(Webster et al., 2011)</w:t>
      </w:r>
      <w:r w:rsidR="00B1743B">
        <w:rPr>
          <w:rFonts w:ascii="Times New Roman" w:hAnsi="Times New Roman" w:cs="Times New Roman"/>
        </w:rPr>
        <w:fldChar w:fldCharType="end"/>
      </w:r>
      <w:r w:rsidR="00B1743B">
        <w:rPr>
          <w:rFonts w:ascii="Times New Roman" w:hAnsi="Times New Roman" w:cs="Times New Roman"/>
        </w:rPr>
        <w:t xml:space="preserve">, </w:t>
      </w:r>
      <w:r w:rsidR="00ED4756">
        <w:rPr>
          <w:rFonts w:ascii="Times New Roman" w:hAnsi="Times New Roman" w:cs="Times New Roman"/>
        </w:rPr>
        <w:t xml:space="preserve">but </w:t>
      </w:r>
      <w:r w:rsidR="00B1743B">
        <w:rPr>
          <w:rFonts w:ascii="Times New Roman" w:hAnsi="Times New Roman" w:cs="Times New Roman"/>
        </w:rPr>
        <w:t>this effect is not included in our model at present.</w:t>
      </w:r>
      <w:r w:rsidRPr="00372AD9">
        <w:rPr>
          <w:rFonts w:ascii="Times New Roman" w:hAnsi="Times New Roman" w:cs="Times New Roman"/>
        </w:rPr>
        <w:t xml:space="preserve"> </w:t>
      </w:r>
      <w:r w:rsidR="00ED4756">
        <w:rPr>
          <w:rFonts w:ascii="Times New Roman" w:hAnsi="Times New Roman" w:cs="Times New Roman"/>
        </w:rPr>
        <w:t>Finally, t</w:t>
      </w:r>
      <w:r w:rsidR="00ED4756" w:rsidRPr="00372AD9">
        <w:rPr>
          <w:rFonts w:ascii="Times New Roman" w:hAnsi="Times New Roman" w:cs="Times New Roman"/>
        </w:rPr>
        <w:t xml:space="preserve">he </w:t>
      </w:r>
      <w:r w:rsidRPr="00372AD9">
        <w:rPr>
          <w:rFonts w:ascii="Times New Roman" w:hAnsi="Times New Roman" w:cs="Times New Roman"/>
        </w:rPr>
        <w:t>solubility of CO</w:t>
      </w:r>
      <w:r w:rsidRPr="00372AD9">
        <w:rPr>
          <w:rFonts w:ascii="Times New Roman" w:hAnsi="Times New Roman" w:cs="Times New Roman"/>
          <w:vertAlign w:val="subscript"/>
        </w:rPr>
        <w:t>3</w:t>
      </w:r>
      <w:r w:rsidRPr="00372AD9">
        <w:rPr>
          <w:rFonts w:ascii="Times New Roman" w:hAnsi="Times New Roman" w:cs="Times New Roman"/>
          <w:vertAlign w:val="superscript"/>
        </w:rPr>
        <w:t>2-</w:t>
      </w:r>
      <w:r w:rsidRPr="00372AD9">
        <w:rPr>
          <w:rFonts w:ascii="Times New Roman" w:hAnsi="Times New Roman" w:cs="Times New Roman"/>
        </w:rPr>
        <w:t xml:space="preserve"> is known to be affected by dissolved H</w:t>
      </w:r>
      <w:r w:rsidRPr="00372AD9">
        <w:rPr>
          <w:rFonts w:ascii="Times New Roman" w:hAnsi="Times New Roman" w:cs="Times New Roman"/>
          <w:vertAlign w:val="subscript"/>
        </w:rPr>
        <w:t>2</w:t>
      </w:r>
      <w:r w:rsidRPr="00372AD9">
        <w:rPr>
          <w:rFonts w:ascii="Times New Roman" w:hAnsi="Times New Roman" w:cs="Times New Roman"/>
        </w:rPr>
        <w:t>O</w:t>
      </w:r>
      <w:r w:rsidRPr="00372AD9">
        <w:rPr>
          <w:rFonts w:ascii="Times New Roman" w:hAnsi="Times New Roman" w:cs="Times New Roman"/>
          <w:vertAlign w:val="subscript"/>
        </w:rPr>
        <w:t>T</w:t>
      </w:r>
      <w:r w:rsidRPr="00372AD9">
        <w:rPr>
          <w:rFonts w:ascii="Times New Roman" w:hAnsi="Times New Roman" w:cs="Times New Roman"/>
        </w:rPr>
        <w:t xml:space="preserve"> </w:t>
      </w:r>
      <w:r w:rsidR="00BE2F06">
        <w:rPr>
          <w:rFonts w:ascii="Times New Roman" w:hAnsi="Times New Roman" w:cs="Times New Roman"/>
        </w:rPr>
        <w:fldChar w:fldCharType="begin" w:fldLock="1"/>
      </w:r>
      <w:r w:rsidR="00034877">
        <w:rPr>
          <w:rFonts w:ascii="Times New Roman" w:hAnsi="Times New Roman" w:cs="Times New Roman"/>
        </w:rPr>
        <w:instrText xml:space="preserve">ADDIN CSL_CITATION {"citationItems":[{"id":"ITEM-1","itemData":{"DOI":"10.1016/j.chemgeo.2006.01.013","ISSN":"00092541","abstract":"The volatile saturation surface in H2O–CO2–silicate melt systems is modeled by applying thermodynamic equilibrium between gaseous and liquid volatile components. The whole database of existing saturation data in the C–O–H–silicate liquid systems has allowed us to re-calibrate a previously developed fully multicomponent H2O–CO2 saturation model [Papale, P., 1999. Modeling of the solubility of a two-component H2O+CO2 fluid in silicate liquid. Am. Mineral., 84, 477–492]. The new database nearly doubles the previous one, greatly improving the performances of the whole model, which now adopts a significantly lower number of model parameters with respect to the previous calibration. The multicomponent H2O+CO2 saturation model is fully non-ideal, the only assumption being that the excess Gibbs free energy of the silicate mixture can be represented by an expansion of first-order symmetric interaction terms. No a-priori assumption is made on the P–T dependence of the volatile–oxide interaction terms, meaning that no assumption is made on the partial molar volume and enthalpy of the dissolved volatiles. The whole treatment is evaluated by restrictive statistical algorithms, which confirm the model validity on an extended database. The model allows to investigate extensively the dependence of the complex volatile saturation surface on composition. In order to explore the non-linear behaviors implicit in the physics of the dissolution process, the model is employed in a series of calculations aimed at illustrating some of the compositional features of the volatile saturation surface in both one-component and two-component volatile conditions. The results show compositional-dependent minima and maxima, some of which are known from the experiments. Non-ideal behavior is enhanced in two-component fluid phase conditions and pressures above a few hundreds MPa, where calculated isobaric H2O–CO2 saturation curves reveal the possible existence of a maximum in CO2 saturation at non-zero H2O contents. Due to the compositional dependence of the volatile saturation surface, it is outlined the important role played by redox conditions, especially in iron-rich melt systems like basalts.","author":[{"dropping-particle":"","family":"Papale","given":"Paolo","non-dropping-particle":"","parse-names":false,"suffix":""},{"dropping-particle":"","family":"Moretti","given":"Roberto","non-dropping-particle":"","parse-names":false,"suffix":""},{"dropping-particle":"","family":"Barbato","given":"D.","non-dropping-particle":"","parse-names":false,"suffix":""}],"container-title":"Chemical Geology","id":"ITEM-1","issue":"1","issued":{"date-parts":[["2006"]]},"page":"78-95","title":"The compositional dependence of the saturation surface of H2O+CO2 fluids in silicate melts","type":"article-journal","volume":"229"},"uris":["http://www.mendeley.com/documents/?uuid=f8019a3e-ffde-369f-8557-cd5fc6e486a1"]},{"id":"ITEM-2","itemData":{"DOI":"10.1007/s00410-015-1141-8","ISSN":"0010-7999","author":[{"dropping-particle":"","family":"Ghiorso","given":"Mark S.","non-dropping-particle":"","parse-names":false,"suffix":""},{"dropping-particle":"","family":"Gualda","given":"G.A.R.","non-dropping-particle":"","parse-names":false,"suffix":""}],"container-title":"Contributions to Mineralogy and Petrology","id":"ITEM-2","issue":"6","issued":{"date-parts":[["2015","6","5"]]},"page":"53","publisher":"Springer Berlin Heidelberg","title":"An H2O–CO2 mixed fluid saturation model compatible with rhyolite-MELTS","type":"article-journal","volume":"169"},"uris":["http://www.mendeley.com/documents/?uuid=4a51f65a-45a5-356c-90a6-eb3e75ed9f66"]},{"id":"ITEM-3","itemData":{"DOI":"10.1016/S0016-7037(01)00872-9","ISSN":"0016-7037","abstract":"We determined total CO2 solubilities in andesite melts with a range of compositions. Melts were equilibrated with excess C-O(-H) fluid at 1 GPa and 1300°C then quenched to glasses. Samples were analyzed using an electron microprobe for major elements, ion microprobe for C-O-H volatiles, and Fourier transform infrared spectroscopy for molecular H2O, OH-, molecular CO2, and CO2-3, CO2 solubility was determined in hydrous andesite glasses and we found that H2O content has a strong influence on C-O speciation and total CO2 solubility. In anhydrous andesite melts with </w:instrText>
      </w:r>
      <w:r w:rsidR="00034877">
        <w:rPr>
          <w:rFonts w:ascii="Cambria Math" w:hAnsi="Cambria Math" w:cs="Cambria Math"/>
        </w:rPr>
        <w:instrText>∼</w:instrText>
      </w:r>
      <w:r w:rsidR="00034877">
        <w:rPr>
          <w:rFonts w:ascii="Times New Roman" w:hAnsi="Times New Roman" w:cs="Times New Roman"/>
        </w:rPr>
        <w:instrText xml:space="preserve">60 wt.% SiO2, total CO2 solubility is </w:instrText>
      </w:r>
      <w:r w:rsidR="00034877">
        <w:rPr>
          <w:rFonts w:ascii="Cambria Math" w:hAnsi="Cambria Math" w:cs="Cambria Math"/>
        </w:rPr>
        <w:instrText>∼</w:instrText>
      </w:r>
      <w:r w:rsidR="00034877">
        <w:rPr>
          <w:rFonts w:ascii="Times New Roman" w:hAnsi="Times New Roman" w:cs="Times New Roman"/>
        </w:rPr>
        <w:instrText xml:space="preserve">0.3 wt.% at 1300°C and 1 GPa and total CO2 solubility increases by about 0.06 wt.% per wt.% of total H2O. As total H2O increases from </w:instrText>
      </w:r>
      <w:r w:rsidR="00034877">
        <w:rPr>
          <w:rFonts w:ascii="Cambria Math" w:hAnsi="Cambria Math" w:cs="Cambria Math"/>
        </w:rPr>
        <w:instrText>∼</w:instrText>
      </w:r>
      <w:r w:rsidR="00034877">
        <w:rPr>
          <w:rFonts w:ascii="Times New Roman" w:hAnsi="Times New Roman" w:cs="Times New Roman"/>
        </w:rPr>
        <w:instrText xml:space="preserve">0 to </w:instrText>
      </w:r>
      <w:r w:rsidR="00034877">
        <w:rPr>
          <w:rFonts w:ascii="Cambria Math" w:hAnsi="Cambria Math" w:cs="Cambria Math"/>
        </w:rPr>
        <w:instrText>∼</w:instrText>
      </w:r>
      <w:r w:rsidR="00034877">
        <w:rPr>
          <w:rFonts w:ascii="Times New Roman" w:hAnsi="Times New Roman" w:cs="Times New Roman"/>
        </w:rPr>
        <w:instrText xml:space="preserve">3.4 wt.%, molecular CO2 decreases (from 0.07 ± 0.01 wt.% to </w:instrText>
      </w:r>
      <w:r w:rsidR="00034877">
        <w:rPr>
          <w:rFonts w:ascii="Cambria Math" w:hAnsi="Cambria Math" w:cs="Cambria Math"/>
        </w:rPr>
        <w:instrText>∼</w:instrText>
      </w:r>
      <w:r w:rsidR="00034877">
        <w:rPr>
          <w:rFonts w:ascii="Times New Roman" w:hAnsi="Times New Roman" w:cs="Times New Roman"/>
        </w:rPr>
        <w:instrText>0.01 wt.%) and CO2-3 increases (from 0.24 ± 0.04 wt.% to 0.57 ± 0.09 wt.%). Molecular CO2 increases as the calculated mole fraction of CO2 in the fluid increases, showing Henrian behavior. In contrast, CO2+3 decreases as the calculated mole fraction of CO2 in the fluid increases, indicating that CO2-3 solubility is strongly dependent on the availability of reactive oxygens in the melt. These findings have implications for CO2 degassing. If substantial H2O is present, total CO2 solubility is higher and CO2 will degas at relatively shallow levels compared to a drier melt. Total CO2 solubility was also examined in andesitic glasses with additional Ca, K, or Mg and low H2O contents (&lt;1 wt.%). We found that total CO2 solubility is negatively correlated with (Si + Al) cation mole fraction and positively correlated with cations with large Gibbs free energy of decarbonation or high charge-to-radius ratios (e.g., Ca). Combining our andesite data with data from the literature, we find that molecular CO2 is more abundant in highly polymerized melts with high ionic porosities (&gt;</w:instrText>
      </w:r>
      <w:r w:rsidR="00034877">
        <w:rPr>
          <w:rFonts w:ascii="Cambria Math" w:hAnsi="Cambria Math" w:cs="Cambria Math"/>
        </w:rPr>
        <w:instrText>∼</w:instrText>
      </w:r>
      <w:r w:rsidR="00034877">
        <w:rPr>
          <w:rFonts w:ascii="Times New Roman" w:hAnsi="Times New Roman" w:cs="Times New Roman"/>
        </w:rPr>
        <w:instrText>48.3%), and low nonbridging oxygen/tetrahedral oxygen (&lt;</w:instrText>
      </w:r>
      <w:r w:rsidR="00034877">
        <w:rPr>
          <w:rFonts w:ascii="Cambria Math" w:hAnsi="Cambria Math" w:cs="Cambria Math"/>
        </w:rPr>
        <w:instrText>∼</w:instrText>
      </w:r>
      <w:r w:rsidR="00034877">
        <w:rPr>
          <w:rFonts w:ascii="Times New Roman" w:hAnsi="Times New Roman" w:cs="Times New Roman"/>
        </w:rPr>
        <w:instrText>0.3). Carbonate dominates most silicate melts and is most abundant in depolymerized melts with low ionic porosities, high nonbridging oxygen/tetrahedral oxygen (&gt;</w:instrText>
      </w:r>
      <w:r w:rsidR="00034877">
        <w:rPr>
          <w:rFonts w:ascii="Cambria Math" w:hAnsi="Cambria Math" w:cs="Cambria Math"/>
        </w:rPr>
        <w:instrText>∼</w:instrText>
      </w:r>
      <w:r w:rsidR="00034877">
        <w:rPr>
          <w:rFonts w:ascii="Times New Roman" w:hAnsi="Times New Roman" w:cs="Times New Roman"/>
        </w:rPr>
        <w:instrText>0.3), and abundant cations with large Gibbs free energy of decarbonation or high charge-to-radius ratio. In natural silicate melt, the oxygens in the carbonate are likely associated with tetrahedral and network-modifying cations (including Ca, H, or H-bonds) or a combinations of those cations. Copyright © 2002 Elsevier Science Ltd.","author":[{"dropping-particle":"","family":"King","given":"P. L.","non-dropping-particle":"","parse-names":false,"suffix":""},{"dropping-particle":"","family":"Holloway","given":"John R.","non-dropping-particle":"","parse-names":false,"suffix":""}],"container-title":"Geochimica et Cosmochimica Acta","id":"ITEM-3","issue":"9","issued":{"date-parts":[["2002","5","1"]]},"page":"1627-1640","publisher":"Pergamon","title":"CO2 solubility and speciation in intermediate (andesitic) melts: the role of H2O and composition","type":"article-journal","volume":"66"},"uris":["http://www.mendeley.com/documents/?uuid=0ac67e0f-34ad-3640-84b7-63a18c2702ef"]}],"mendeley":{"formattedCitation":"(Ghiorso and Gualda, 2015; King and Holloway, 2002; Papale et al., 2006)","manualFormatting":"(e.g., Ghiorso and Gualda, 2015; King and Holloway, 2002; Papale et al., 2006)","plainTextFormattedCitation":"(Ghiorso and Gualda, 2015; King and Holloway, 2002; Papale et al., 2006)","previouslyFormattedCitation":"(Ghiorso and Gualda, 2015; King and Holloway, 2002; Papale et al., 2006)"},"properties":{"noteIndex":0},"schema":"https://github.com/citation-style-language/schema/raw/master/csl-citation.json"}</w:instrText>
      </w:r>
      <w:r w:rsidR="00BE2F06">
        <w:rPr>
          <w:rFonts w:ascii="Times New Roman" w:hAnsi="Times New Roman" w:cs="Times New Roman"/>
        </w:rPr>
        <w:fldChar w:fldCharType="separate"/>
      </w:r>
      <w:r w:rsidR="00BE2F06" w:rsidRPr="00BE2F06">
        <w:rPr>
          <w:rFonts w:ascii="Times New Roman" w:hAnsi="Times New Roman" w:cs="Times New Roman"/>
          <w:noProof/>
        </w:rPr>
        <w:t>(</w:t>
      </w:r>
      <w:r w:rsidR="00BE2F06">
        <w:rPr>
          <w:rFonts w:ascii="Times New Roman" w:hAnsi="Times New Roman" w:cs="Times New Roman"/>
          <w:noProof/>
        </w:rPr>
        <w:t xml:space="preserve">e.g., </w:t>
      </w:r>
      <w:r w:rsidR="00BE2F06" w:rsidRPr="00BE2F06">
        <w:rPr>
          <w:rFonts w:ascii="Times New Roman" w:hAnsi="Times New Roman" w:cs="Times New Roman"/>
          <w:noProof/>
        </w:rPr>
        <w:t>Ghiorso and Gualda, 2015; King and Holloway, 2002; Papale et al., 2006)</w:t>
      </w:r>
      <w:r w:rsidR="00BE2F06">
        <w:rPr>
          <w:rFonts w:ascii="Times New Roman" w:hAnsi="Times New Roman" w:cs="Times New Roman"/>
        </w:rPr>
        <w:fldChar w:fldCharType="end"/>
      </w:r>
      <w:r w:rsidRPr="00372AD9">
        <w:rPr>
          <w:rFonts w:ascii="Times New Roman" w:hAnsi="Times New Roman" w:cs="Times New Roman"/>
        </w:rPr>
        <w:t xml:space="preserve"> and this effect could also in principle be incorporated into our modelling by following a similar approach. This </w:t>
      </w:r>
      <w:r w:rsidR="00ED4756">
        <w:rPr>
          <w:rFonts w:ascii="Times New Roman" w:hAnsi="Times New Roman" w:cs="Times New Roman"/>
        </w:rPr>
        <w:t>could be approached by</w:t>
      </w:r>
      <w:r w:rsidRPr="00372AD9">
        <w:rPr>
          <w:rFonts w:ascii="Times New Roman" w:hAnsi="Times New Roman" w:cs="Times New Roman"/>
        </w:rPr>
        <w:t xml:space="preserve"> adding an additional </w:t>
      </w:r>
      <w:r w:rsidR="00B537BA">
        <w:rPr>
          <w:rFonts w:ascii="Times New Roman" w:hAnsi="Times New Roman" w:cs="Times New Roman"/>
        </w:rPr>
        <w:t>heterogeneous</w:t>
      </w:r>
      <w:r w:rsidRPr="00372AD9">
        <w:rPr>
          <w:rFonts w:ascii="Times New Roman" w:hAnsi="Times New Roman" w:cs="Times New Roman"/>
        </w:rPr>
        <w:t xml:space="preserve"> equilibrium to Table </w:t>
      </w:r>
      <w:r w:rsidR="00B537BA">
        <w:rPr>
          <w:rFonts w:ascii="Times New Roman" w:hAnsi="Times New Roman" w:cs="Times New Roman"/>
        </w:rPr>
        <w:t>2</w:t>
      </w:r>
      <w:r w:rsidRPr="00372AD9">
        <w:rPr>
          <w:rFonts w:ascii="Times New Roman" w:hAnsi="Times New Roman" w:cs="Times New Roman"/>
        </w:rPr>
        <w:t xml:space="preserve"> (e.g., </w:t>
      </w:r>
      <w:proofErr w:type="gramStart"/>
      <w:r w:rsidRPr="00372AD9">
        <w:rPr>
          <w:rFonts w:ascii="Times New Roman" w:hAnsi="Times New Roman" w:cs="Times New Roman"/>
        </w:rPr>
        <w:t>CO</w:t>
      </w:r>
      <w:r w:rsidRPr="00372AD9">
        <w:rPr>
          <w:rFonts w:ascii="Times New Roman" w:hAnsi="Times New Roman" w:cs="Times New Roman"/>
          <w:vertAlign w:val="subscript"/>
        </w:rPr>
        <w:t>2</w:t>
      </w:r>
      <w:r w:rsidRPr="00372AD9">
        <w:rPr>
          <w:rFonts w:ascii="Times New Roman" w:hAnsi="Times New Roman" w:cs="Times New Roman"/>
        </w:rPr>
        <w:t>(</w:t>
      </w:r>
      <w:proofErr w:type="gramEnd"/>
      <w:r w:rsidRPr="00372AD9">
        <w:rPr>
          <w:rFonts w:ascii="Times New Roman" w:hAnsi="Times New Roman" w:cs="Times New Roman"/>
          <w:i/>
          <w:iCs/>
        </w:rPr>
        <w:t>v</w:t>
      </w:r>
      <w:r w:rsidR="00B537BA">
        <w:rPr>
          <w:rFonts w:ascii="Times New Roman" w:hAnsi="Times New Roman" w:cs="Times New Roman"/>
          <w:i/>
          <w:iCs/>
        </w:rPr>
        <w:t xml:space="preserve"> or m</w:t>
      </w:r>
      <w:r w:rsidRPr="00372AD9">
        <w:rPr>
          <w:rFonts w:ascii="Times New Roman" w:hAnsi="Times New Roman" w:cs="Times New Roman"/>
        </w:rPr>
        <w:t>) + H</w:t>
      </w:r>
      <w:r w:rsidRPr="00372AD9">
        <w:rPr>
          <w:rFonts w:ascii="Times New Roman" w:hAnsi="Times New Roman" w:cs="Times New Roman"/>
          <w:vertAlign w:val="subscript"/>
        </w:rPr>
        <w:t>2</w:t>
      </w:r>
      <w:r w:rsidRPr="00372AD9">
        <w:rPr>
          <w:rFonts w:ascii="Times New Roman" w:hAnsi="Times New Roman" w:cs="Times New Roman"/>
        </w:rPr>
        <w:t>O(</w:t>
      </w:r>
      <w:r w:rsidR="00B537BA">
        <w:rPr>
          <w:rFonts w:ascii="Times New Roman" w:hAnsi="Times New Roman" w:cs="Times New Roman"/>
          <w:i/>
          <w:iCs/>
        </w:rPr>
        <w:t>m</w:t>
      </w:r>
      <w:r w:rsidRPr="00372AD9">
        <w:rPr>
          <w:rFonts w:ascii="Times New Roman" w:hAnsi="Times New Roman" w:cs="Times New Roman"/>
        </w:rPr>
        <w:t>) = H</w:t>
      </w:r>
      <w:r w:rsidRPr="00372AD9">
        <w:rPr>
          <w:rFonts w:ascii="Times New Roman" w:hAnsi="Times New Roman" w:cs="Times New Roman"/>
          <w:vertAlign w:val="subscript"/>
        </w:rPr>
        <w:t>2</w:t>
      </w:r>
      <w:r w:rsidRPr="00372AD9">
        <w:rPr>
          <w:rFonts w:ascii="Times New Roman" w:hAnsi="Times New Roman" w:cs="Times New Roman"/>
        </w:rPr>
        <w:t>CO</w:t>
      </w:r>
      <w:r w:rsidRPr="00372AD9">
        <w:rPr>
          <w:rFonts w:ascii="Times New Roman" w:hAnsi="Times New Roman" w:cs="Times New Roman"/>
          <w:vertAlign w:val="subscript"/>
        </w:rPr>
        <w:t>3</w:t>
      </w:r>
      <w:r w:rsidRPr="00372AD9">
        <w:rPr>
          <w:rFonts w:ascii="Times New Roman" w:hAnsi="Times New Roman" w:cs="Times New Roman"/>
        </w:rPr>
        <w:t>(</w:t>
      </w:r>
      <w:r w:rsidR="00B537BA">
        <w:rPr>
          <w:rFonts w:ascii="Times New Roman" w:hAnsi="Times New Roman" w:cs="Times New Roman"/>
          <w:i/>
          <w:iCs/>
        </w:rPr>
        <w:t>m</w:t>
      </w:r>
      <w:r w:rsidRPr="00372AD9">
        <w:rPr>
          <w:rFonts w:ascii="Times New Roman" w:hAnsi="Times New Roman" w:cs="Times New Roman"/>
        </w:rPr>
        <w:t>)). However, we have not included this effect given the sparse data on the effects of H</w:t>
      </w:r>
      <w:r w:rsidRPr="00372AD9">
        <w:rPr>
          <w:rFonts w:ascii="Times New Roman" w:hAnsi="Times New Roman" w:cs="Times New Roman"/>
          <w:vertAlign w:val="subscript"/>
        </w:rPr>
        <w:t>2</w:t>
      </w:r>
      <w:r w:rsidRPr="00372AD9">
        <w:rPr>
          <w:rFonts w:ascii="Times New Roman" w:hAnsi="Times New Roman" w:cs="Times New Roman"/>
        </w:rPr>
        <w:t>O on CO</w:t>
      </w:r>
      <w:r w:rsidRPr="00372AD9">
        <w:rPr>
          <w:rFonts w:ascii="Times New Roman" w:hAnsi="Times New Roman" w:cs="Times New Roman"/>
          <w:vertAlign w:val="subscript"/>
        </w:rPr>
        <w:t>2</w:t>
      </w:r>
      <w:r w:rsidRPr="00372AD9">
        <w:rPr>
          <w:rFonts w:ascii="Times New Roman" w:hAnsi="Times New Roman" w:cs="Times New Roman"/>
        </w:rPr>
        <w:t xml:space="preserve"> solubility in basaltic melts.</w:t>
      </w:r>
    </w:p>
    <w:p w14:paraId="6DAC3C80" w14:textId="77777777" w:rsidR="00500516" w:rsidRPr="00372AD9" w:rsidRDefault="00500516" w:rsidP="00372AD9">
      <w:pPr>
        <w:jc w:val="both"/>
        <w:rPr>
          <w:rFonts w:ascii="Times New Roman" w:hAnsi="Times New Roman" w:cs="Times New Roman"/>
        </w:rPr>
      </w:pPr>
    </w:p>
    <w:p w14:paraId="74214BFA" w14:textId="24B0E406" w:rsidR="00372AD9" w:rsidRPr="00372AD9" w:rsidRDefault="00372AD9" w:rsidP="00372AD9">
      <w:pPr>
        <w:pStyle w:val="Heading2"/>
        <w:rPr>
          <w:rFonts w:ascii="Times New Roman" w:hAnsi="Times New Roman"/>
          <w:szCs w:val="24"/>
        </w:rPr>
      </w:pPr>
      <w:r w:rsidRPr="00372AD9">
        <w:rPr>
          <w:rFonts w:ascii="Times New Roman" w:hAnsi="Times New Roman"/>
          <w:szCs w:val="24"/>
        </w:rPr>
        <w:t xml:space="preserve">Effect of P on </w:t>
      </w:r>
      <w:r w:rsidR="00B537BA">
        <w:rPr>
          <w:rFonts w:ascii="Times New Roman" w:hAnsi="Times New Roman"/>
          <w:szCs w:val="24"/>
        </w:rPr>
        <w:t>solubility</w:t>
      </w:r>
    </w:p>
    <w:p w14:paraId="3C6CB234" w14:textId="0D344699" w:rsidR="00372AD9" w:rsidRDefault="00372AD9" w:rsidP="00147AF9">
      <w:pPr>
        <w:ind w:firstLine="720"/>
        <w:jc w:val="both"/>
        <w:rPr>
          <w:rFonts w:ascii="Times New Roman" w:hAnsi="Times New Roman" w:cs="Times New Roman"/>
        </w:rPr>
      </w:pPr>
      <w:r w:rsidRPr="00372AD9">
        <w:rPr>
          <w:rFonts w:ascii="Times New Roman" w:hAnsi="Times New Roman" w:cs="Times New Roman"/>
        </w:rPr>
        <w:t xml:space="preserve">The </w:t>
      </w:r>
      <w:r w:rsidRPr="00372AD9">
        <w:rPr>
          <w:rFonts w:ascii="Times New Roman" w:hAnsi="Times New Roman" w:cs="Times New Roman"/>
          <w:i/>
          <w:iCs/>
        </w:rPr>
        <w:t>P</w:t>
      </w:r>
      <w:r w:rsidRPr="00372AD9">
        <w:rPr>
          <w:rFonts w:ascii="Times New Roman" w:hAnsi="Times New Roman" w:cs="Times New Roman"/>
        </w:rPr>
        <w:t xml:space="preserve">-dependences of </w:t>
      </w:r>
      <w:r w:rsidRPr="00372AD9">
        <w:rPr>
          <w:rFonts w:ascii="Times New Roman" w:hAnsi="Times New Roman" w:cs="Times New Roman"/>
          <w:i/>
          <w:iCs/>
        </w:rPr>
        <w:t>C</w:t>
      </w:r>
      <w:r w:rsidRPr="00372AD9">
        <w:rPr>
          <w:rFonts w:ascii="Times New Roman" w:hAnsi="Times New Roman" w:cs="Times New Roman"/>
          <w:i/>
          <w:iCs/>
          <w:vertAlign w:val="subscript"/>
        </w:rPr>
        <w:t>i</w:t>
      </w:r>
      <w:r w:rsidRPr="00372AD9">
        <w:rPr>
          <w:rFonts w:ascii="Times New Roman" w:hAnsi="Times New Roman" w:cs="Times New Roman"/>
        </w:rPr>
        <w:t xml:space="preserve"> for the relatively insoluble CO</w:t>
      </w:r>
      <w:r w:rsidRPr="00372AD9">
        <w:rPr>
          <w:rFonts w:ascii="Times New Roman" w:hAnsi="Times New Roman" w:cs="Times New Roman"/>
          <w:vertAlign w:val="subscript"/>
        </w:rPr>
        <w:t>3</w:t>
      </w:r>
      <w:r w:rsidRPr="00372AD9">
        <w:rPr>
          <w:rFonts w:ascii="Times New Roman" w:hAnsi="Times New Roman" w:cs="Times New Roman"/>
          <w:vertAlign w:val="superscript"/>
        </w:rPr>
        <w:t>2-</w:t>
      </w:r>
      <w:r w:rsidRPr="00372AD9">
        <w:rPr>
          <w:rFonts w:ascii="Times New Roman" w:hAnsi="Times New Roman" w:cs="Times New Roman"/>
        </w:rPr>
        <w:t>, H</w:t>
      </w:r>
      <w:r w:rsidRPr="00372AD9">
        <w:rPr>
          <w:rFonts w:ascii="Times New Roman" w:hAnsi="Times New Roman" w:cs="Times New Roman"/>
          <w:vertAlign w:val="subscript"/>
        </w:rPr>
        <w:t>2,mol</w:t>
      </w:r>
      <w:r w:rsidRPr="00372AD9">
        <w:rPr>
          <w:rFonts w:ascii="Times New Roman" w:hAnsi="Times New Roman" w:cs="Times New Roman"/>
        </w:rPr>
        <w:t>. CH</w:t>
      </w:r>
      <w:r w:rsidRPr="00372AD9">
        <w:rPr>
          <w:rFonts w:ascii="Times New Roman" w:hAnsi="Times New Roman" w:cs="Times New Roman"/>
          <w:vertAlign w:val="subscript"/>
        </w:rPr>
        <w:t>4,mol</w:t>
      </w:r>
      <w:r w:rsidRPr="00372AD9">
        <w:rPr>
          <w:rFonts w:ascii="Times New Roman" w:hAnsi="Times New Roman" w:cs="Times New Roman"/>
        </w:rPr>
        <w:t xml:space="preserve">, and </w:t>
      </w:r>
      <w:proofErr w:type="spellStart"/>
      <w:r w:rsidRPr="00372AD9">
        <w:rPr>
          <w:rFonts w:ascii="Times New Roman" w:hAnsi="Times New Roman" w:cs="Times New Roman"/>
        </w:rPr>
        <w:t>CO</w:t>
      </w:r>
      <w:r w:rsidRPr="00372AD9">
        <w:rPr>
          <w:rFonts w:ascii="Times New Roman" w:hAnsi="Times New Roman" w:cs="Times New Roman"/>
          <w:vertAlign w:val="subscript"/>
        </w:rPr>
        <w:t>mol</w:t>
      </w:r>
      <w:proofErr w:type="spellEnd"/>
      <w:r w:rsidRPr="00372AD9">
        <w:rPr>
          <w:rFonts w:ascii="Times New Roman" w:hAnsi="Times New Roman" w:cs="Times New Roman"/>
        </w:rPr>
        <w:t xml:space="preserve">  melt species have been included in our model </w:t>
      </w:r>
      <w:r w:rsidR="008B2CAC">
        <w:rPr>
          <w:rFonts w:ascii="Times New Roman" w:hAnsi="Times New Roman" w:cs="Times New Roman"/>
        </w:rPr>
        <w:fldChar w:fldCharType="begin" w:fldLock="1"/>
      </w:r>
      <w:r w:rsidR="008B2CAC">
        <w:rPr>
          <w:rFonts w:ascii="Times New Roman" w:hAnsi="Times New Roman" w:cs="Times New Roman"/>
        </w:rPr>
        <w:instrText>ADDIN CSL_CITATION {"citationItems":[{"id":"ITEM-1","itemData":{"DOI":"10.1093/oxfordjournals.petrology.a037267","abstract":"Experiments were conducted to determine the solubilities of H2O and CO2 and the nature of their mixing behavior in basaltic liquid at pressures and temperature relevant to seqfloor eruption. Mid-ocean ridge basaltic (MORB) liquid was equilibrated at 1200°C with pure H2O at pressures of 176–717 bar and H2O—CO2 vapor at pressures up to 980 bar. Concentrations and speciation of H2O and CO2 dissolved in the quenched glasses were measured using IR spectroscopy. Molar absorptivities for the 4500 cm−1 band of hydroxyl groups and the 5200 and 1630 cm−1 bands of molecular water are 0</w:instrText>
      </w:r>
      <w:r w:rsidR="008B2CAC">
        <w:rPr>
          <w:rFonts w:ascii="Cambria Math" w:hAnsi="Cambria Math" w:cs="Cambria Math"/>
        </w:rPr>
        <w:instrText>⋅</w:instrText>
      </w:r>
      <w:r w:rsidR="008B2CAC">
        <w:rPr>
          <w:rFonts w:ascii="Times New Roman" w:hAnsi="Times New Roman" w:cs="Times New Roman"/>
        </w:rPr>
        <w:instrText>67±0</w:instrText>
      </w:r>
      <w:r w:rsidR="008B2CAC">
        <w:rPr>
          <w:rFonts w:ascii="Cambria Math" w:hAnsi="Cambria Math" w:cs="Cambria Math"/>
        </w:rPr>
        <w:instrText>⋅</w:instrText>
      </w:r>
      <w:r w:rsidR="008B2CAC">
        <w:rPr>
          <w:rFonts w:ascii="Times New Roman" w:hAnsi="Times New Roman" w:cs="Times New Roman"/>
        </w:rPr>
        <w:instrText>03, 0</w:instrText>
      </w:r>
      <w:r w:rsidR="008B2CAC">
        <w:rPr>
          <w:rFonts w:ascii="Cambria Math" w:hAnsi="Cambria Math" w:cs="Cambria Math"/>
        </w:rPr>
        <w:instrText>⋅</w:instrText>
      </w:r>
      <w:r w:rsidR="008B2CAC">
        <w:rPr>
          <w:rFonts w:ascii="Times New Roman" w:hAnsi="Times New Roman" w:cs="Times New Roman"/>
        </w:rPr>
        <w:instrText>62±0</w:instrText>
      </w:r>
      <w:r w:rsidR="008B2CAC">
        <w:rPr>
          <w:rFonts w:ascii="Cambria Math" w:hAnsi="Cambria Math" w:cs="Cambria Math"/>
        </w:rPr>
        <w:instrText>⋅</w:instrText>
      </w:r>
      <w:r w:rsidR="008B2CAC">
        <w:rPr>
          <w:rFonts w:ascii="Times New Roman" w:hAnsi="Times New Roman" w:cs="Times New Roman"/>
        </w:rPr>
        <w:instrText>07, and 25±3 l/mol-cm, respectively. These and previously determined molar absorptivities for a range of silicate melt compositions correlate positively and linearly with the concentration of tetrahedral cations (Si+Al). The speciation of water in glass quenched from vapor-saturated basaltic melt is similar to that determined by Silver &amp; Stolper (Journal of Petrology30, 667–709, 1989) in albitic glass and can be fitted by their regular ternary solution model using the coefficients for albitic glasses. Concentrations of molecular water measured in the quenched basaltic glasses are proportional to f H2O in all samples regardless of the composition of the vapor, demonstrating that the activity of molecular water in basaltic melts follows Henry's law at these pressures. A best fit to our data and existing higher-pressure water solubility data (Khitarov et al., Geochemistry5, 479–492, 1959; Hamilton et al., Journal of Petrology5, 21–39, 1964), assuming Henrian behavior for molecular water and that the dependence of molecular water content on total water content can be described by the regular solution model, gives estimates for the Vo, mH2O of 12±1 cm3/mol and for the 1-bar water solubility of 0</w:instrText>
      </w:r>
      <w:r w:rsidR="008B2CAC">
        <w:rPr>
          <w:rFonts w:ascii="Cambria Math" w:hAnsi="Cambria Math" w:cs="Cambria Math"/>
        </w:rPr>
        <w:instrText>⋅</w:instrText>
      </w:r>
      <w:r w:rsidR="008B2CAC">
        <w:rPr>
          <w:rFonts w:ascii="Times New Roman" w:hAnsi="Times New Roman" w:cs="Times New Roman"/>
        </w:rPr>
        <w:instrText>11 wt%. Concentrations of CO2 dissolved as carbonate in the melt for pure CO2-saturated and mixed H2O-CO2-saturated experiments are a simple function of fCO2 These results suggest Henrian behavior for the activity of carbonate in basaltic melt and do not support the widely held view that water significantly enhances the solution of carbon dioxide in basaltic melts. Using a ΔVo, mr of 23 cm3/mol (Pan et al., Geochimica et Cosmochimica Acta55, 1587–1595, 1991), the solubility of carbonate in the melt at 1 bar and 1200°C is 0</w:instrText>
      </w:r>
      <w:r w:rsidR="008B2CAC">
        <w:rPr>
          <w:rFonts w:ascii="Cambria Math" w:hAnsi="Cambria Math" w:cs="Cambria Math"/>
        </w:rPr>
        <w:instrText>⋅</w:instrText>
      </w:r>
      <w:r w:rsidR="008B2CAC">
        <w:rPr>
          <w:rFonts w:ascii="Times New Roman" w:hAnsi="Times New Roman" w:cs="Times New Roman"/>
        </w:rPr>
        <w:instrText xml:space="preserve">5 p.p.m. Our revised determination of CO2 solubility is </w:instrText>
      </w:r>
      <w:r w:rsidR="008B2CAC">
        <w:rPr>
          <w:rFonts w:ascii="Cambria Math" w:hAnsi="Cambria Math" w:cs="Cambria Math"/>
        </w:rPr>
        <w:instrText>∼</w:instrText>
      </w:r>
      <w:r w:rsidR="008B2CAC">
        <w:rPr>
          <w:rFonts w:ascii="Times New Roman" w:hAnsi="Times New Roman" w:cs="Times New Roman"/>
        </w:rPr>
        <w:instrText>20% higher than that reported by Stolper &amp; Holloway (Earth and Planetary Science Letters87, 397–408, 19…","author":[{"dropping-particle":"","family":"Dixon","given":"Jacqueline Eaby","non-dropping-particle":"","parse-names":false,"suffix":""},{"dropping-particle":"","family":"Stolper","given":"Edward M.","non-dropping-particle":"","parse-names":false,"suffix":""},{"dropping-particle":"","family":"Holloway","given":"John R.","non-dropping-particle":"","parse-names":false,"suffix":""}],"container-title":"Journal of Petrology","id":"ITEM-1","issue":"6","issued":{"date-parts":[["1995","12","1"]]},"page":"1607-1631","publisher":"Oxford University Press","title":"An experimental study of water and carbon dioxide solubilities in mid-ocean ridge basaltic liquids. Part I: Calibration and solubility models","type":"article-journal","volume":"36"},"uris":["http://www.mendeley.com/documents/?uuid=2e9900bf-0994-3bf3-bbcb-76f8502edb39"]},{"id":"ITEM-2","itemData":{"DOI":"10.1016/J.EPSL.2012.06.031","ISSN":"0012-821X","abstract":"We present experiments from 0.7 to 3GPa that quantify solubility of H2 in silicate melts under controlled hydrogen fugacities (fH2). Two experimental series, one on synthetic basalt+COH and other with a synthetic andesite+OH, were conducted using a double capsule technique to impose a range of fH2, on the samples. Quenched glasses were analyzed by FTIR and SIMS. Both series follow simple solubility laws in which molecular H2 concentrations are proportional to fH2 and with a partial molar volume of molecular H2 of 11cm3/mole. Solubilities in andesitic melt are systematically greater than in basaltic liquid in a relationship consistent with control by the ionic porosity (IP) of the melts. Extrapolation based on IP allows estimation of the solubility of H2 in peridotitic melts applicable to magma oceans. The H2/(H2+H2O) ratio in silicate melts (where H2O includes molecular H2O and OH−) increases as conditions become more reduced, with increasing pressure, and with increasing total H. Under some conditions prevailing in the early Earth and terrestrial planets as well as in the deep Earth today, H2 can be a significant fraction of the dissolved H and at high pressure it may exceed “water” (H2O and OH−). Therefore, magmatic H2 may influence the initial distribution of volatiles and the redox evolution of terrestrial planets, as well as the ongoing formation and fate of hydrous melts in the deep Earth today. Hydrous species in melts in equilibrium with Fe-rich alloy at high pressure, for example during core formation from a magma ocean, could be chiefly H2, rather than H2O. Hence, delivery of H2 to the core by removal of Fe hydride need not be coupled to oxidation of the residual mantle. Although lunar basalts are much reduced, the fraction of H dissolved as molecular H2 is small owing to low total H concentrations. Extrapolation to conditions of potential hydrous partial melting in the deep Earth suggests that the chief magmatic volatile may be H2 rather than H2O. The very small partial specific density of magmatic H2 (0.18g/cm3 at low pressure) may provide significant positive buoyancy to deep partial melts.","author":[{"dropping-particle":"","family":"Hirschmann","given":"Marc M.","non-dropping-particle":"","parse-names":false,"suffix":""},{"dropping-particle":"","family":"Withers","given":"A.C.","non-dropping-particle":"","parse-names":false,"suffix":""},{"dropping-particle":"","family":"Ardia","given":"P.","non-dropping-particle":"","parse-names":false,"suffix":""},{"dropping-particle":"","family":"Foley","given":"N.T.","non-dropping-particle":"","parse-names":false,"suffix":""}],"container-title":"Earth and Planetary Science Letters","id":"ITEM-2","issued":{"date-parts":[["2012","9","1"]]},"page":"38-48","publisher":"Elsevier","title":"Solubility of molecular hydrogen in silicate melts and consequences for volatile evolution of terrestrial planets","type":"article-journal","volume":"345-348"},"uris":["http://www.mendeley.com/documents/?uuid=0b218f94-363e-373b-aae6-51c0c4c55f42"]},{"id":"ITEM-3","itemData":{"DOI":"10.1016/J.GCA.2013.03.028","ISSN":"0016-7037","abstract":"We employ a double capsule technique to determine the solubility of CH4 in haplobasaltic (Fe-free) liquid under conditions of constrained methane fugacity, fCH4, at pressures of 0.7-3GPa at 1400-1450°C. Dissolved C-O-H species are examined with FTIR and Raman spectroscopy, and CH4 and CH3- are the only C-bearing species detected. Carbon solubilities are quantified using SIMS, range from 70 to 480ppm when calculated as CH4, and increase with pressure. Concentrations are parameterized with a thermodynamic model and are found to be related to fCH4 and pressure. Application of this thermodynamic model shows dissolved CH4 contents of graphite-saturated magmas are little-influenced by pressure for conditions of fixed fO2 relative to metal-oxide buffers and fixed total H content. Because fCH4 of graphite-saturated systems increases with the square of hydrogen fugacity, dissolved fCH4 increases with decreasing fO2 and increases exponentially with increasing total H content. The experimentally-observed increase with pressure is related to variations in fO2 and H content. Dissolved CH4 contents of Martian magmas in their source regions are small, such that it is unlikely that magmatic CH4 is a principal contributor to greenhouse conditions early in Martian history. Concentrations of dissolved C-O-H volatiles in a magma ocean early in the history of a terrestrial planet may be diminished by reducing conditions, leading to development of a massive atmosphere and a greatly decreased inventory of volatiles stored in planetary interiors at the outset of planetary history. Dissolution of methane may enhance the retention of C in the silicate Earth during core formation, but experimental evaluation of its influence on metal/silicate partitioning of C requires careful matching of the magmatic H concentration between experiments and natural systems. © 2013 Elsevier Ltd.","author":[{"dropping-particle":"","family":"Ardia","given":"P.","non-dropping-particle":"","parse-names":false,"suffix":""},{"dropping-particle":"","family":"Hirschmann","given":"M. M.","non-dropping-particle":"","parse-names":false,"suffix":""},{"dropping-particle":"","family":"Withers","given":"A. C.","non-dropping-particle":"","parse-names":false,"suffix":""},{"dropping-particle":"","family":"Stanley","given":"B. D.","non-dropping-particle":"","parse-names":false,"suffix":""}],"container-title":"Geochimica et Cosmochimica Acta","id":"ITEM-3","issued":{"date-parts":[["2013","8","1"]]},"page":"52-71","publisher":"Pergamon","title":"Solubility of CH4 in a synthetic basaltic melt, with applications to atmosphere–magma ocean–core partitioning of volatiles and to the evolution of the Martian atmosphere","type":"article-journal","volume":"114"},"uris":["http://www.mendeley.com/documents/?uuid=f480b134-992e-323d-9672-6feca8280fae"]},{"id":"ITEM-4","itemData":{"DOI":"10.1016/j.gca.2013.12.013","ISSN":"00167037","abstract":"To determine the speciation and concentrations of dissolved COH volatiles in graphite-saturated martian primitive magmas, we conducted piston-cylinder experiments on graphite-encapsulated synthetic melt of Adirondack-class Humphrey basaltic composition. Experiments were performed over three orders of magnitude in oxygen fugacity (IW+2.3 to IW-0.8), and at pressures (1-3.2GPa) and temperatures (1340-1617°C) similar to those of possible martian source regions. Oxygen fugacities were determined from compositions of coexisting silicate melt+FePt alloy, olivine+pyroxene+FePt alloy, or melt+FeC liquid. Infrared spectra of quenched glasses all show carbonate absorptions at 1430 and 1520cm-1, with CO2 concentrations diminishing under more reduced conditions, from 0.50wt% down to 26ppm. Carbon contents of silicate glasses and FeC liquids were measured using secondary ion mass spectrometry (SIMS) yielding 36-716ppm and 6.71-7.03wt%, respectively. Fourier transform infrared (FTIR) and SIMS analysis produced similar H2O contents of 0.26-0.85 and 0.29-0.40wt%, respectively. Raman spectra of glasses reveal evidence for OH- ions, but no indication of methane-related species. FTIR-measured concentrations of dissolved carbonate diminish linearly with oxygen fugacity, but more reduced conditions yield greater dissolved carbonate concentrations than would be expected based on oxidized conditions in previous work. C contents of silicate glasses determined by SIMS are consistently higher than C as carbonate determined by FTIR. Their difference, termed non-carbonate C, correlates well with additional IR absorptions found in reduced glasses (fO2&lt;IW+0.4) at 1615, 2205, and 3370cm-1. These absorption bands are not seen in more oxidized glasses, except B441 (IW+1.7), presumably because they represent reduced C-bearing complexes. The 2205cm-1 peak is attributed to a CO complex, possibly an Fe-carbonyl ion. The 1615cm-1 peak does not correlate with that at 2205cm-1, but does correlate with non-carbonate C and is in a region commonly associated with CO bonding. The origin of the peak at 3370cm-1 is poorly understood and could potentially be owing to a variety of COH species or to NH bonding. The intensities of the 1615 and 3370cm-1 peaks correlate with each other leading us to provisionally attribute both to an unspecified complex with both CO and NH bonds. These results suggest that dissolved species such as carbonyl or other CO-bearing species could be a significant source of C f…","author":[{"dropping-particle":"","family":"Stanley","given":"Ben D.","non-dropping-particle":"","parse-names":false,"suffix":""},{"dropping-particle":"","family":"Hirschmann","given":"Marc M.","non-dropping-particle":"","parse-names":false,"suffix":""},{"dropping-particle":"","family":"Withers","given":"Anthony C.","non-dropping-particle":"","parse-names":false,"suffix":""}],"container-title":"Geochimica et Cosmochimica Acta","id":"ITEM-4","issued":{"date-parts":[["2014","3","15"]]},"page":"54-76","publisher":"Pergamon","title":"Solubility of COH volatiles in graphite-saturated martian basalts","type":"article-journal","volume":"129"},"uris":["http://www.mendeley.com/documents/?uuid=13f87006-e263-37ba-9dda-70e9face5223"]},{"id":"ITEM-5","itemData":{"DOI":"10.1016/j.gca.2015.07.007","ISSN":"00167037","abstract":"Using vibrational spectroscopy and SIMS, we determined the solubility and speciation of C-O-H-N dissolved volatiles in mafic glasses quenched from high pressure under reduced conditions, with fO2 from -3.65 to +1.46 relative to the iron-wüstite buffer (IW). Experiments were performed on martian and terrestrial basalts at 1.2GPa and 1400°C in graphite containers with variable availability of H2O, and in the presence of FePt alloys or Fe-C liquids. The dominant C-O-H-N species varies systematically with fO2 and H2O content: the carbonate ion prevails above IW+1, but for dry conditions between IW-2 and IW+1, CO species are most important. Below IW, reduced NH-bearing species are present. At the most reducing and hydrous (~0.5wt% H2O) conditions, small amounts of CH4 are present. Concentrations of C diminish as conditions become more reduced, amounting to 10s to ~100ppm in the interval ~IW-2 to IW+1 where CO species dominate, and as little as 1-3ppm at more reduced conditions. Concentrations of non-carbonate carbon, dominated by CO species, correlate with CO fugacities along a trend implying that the species stoichiometry has just one CO group and suggesting that carbonyl complexes (transition metals with multiple carbon monoxide ligands) are not important species under these conditions. C partition coefficients between Fe-C liquid and silicate melt increase with decreasing fO2, becoming as great as 104 for the most reducing conditions investigated. The low solubility of C in silicate liquids under reducing conditions means that most C during the magma ocean stage of planetary differentiation is either segregated to the core or in the overlying atmosphere. Precipitation of C-rich phases in a carbon-saturated magma ocean is also possible, and is one mechanism by which some C can be retained in the mantle of a planet. The predominant magmatic carbonaceous species for both martian and lunar volcanism is likely CO.","author":[{"dropping-particle":"","family":"Armstrong","given":"Lora S.","non-dropping-particle":"","parse-names":false,"suffix":""},{"dropping-particle":"","family":"Hirschmann","given":"Marc M.","non-dropping-particle":"","parse-names":false,"suffix":""},{"dropping-particle":"","family":"Stanley","given":"Ben D.","non-dropping-particle":"","parse-names":false,"suffix":""},{"dropping-particle":"","family":"Falksen","given":"Emily G.","non-dropping-particle":"","parse-names":false,"suffix":""},{"dropping-particle":"","family":"Jacobsen","given":"Steven D.","non-dropping-particle":"","parse-names":false,"suffix":""}],"container-title":"Geochimica et Cosmochimica Acta","id":"ITEM-5","issued":{"date-parts":[["2015","12","15"]]},"page":"283-302","publisher":"Elsevier Ltd","title":"Speciation and solubility of reduced C-O-H-N volatiles in mafic melt: Implications for volcanism, atmospheric evolution, and deep volatile cycles in the terrestrial planets","type":"article-journal","volume":"171"},"uris":["http://www.mendeley.com/documents/?uuid=6626ae04-d1ec-3960-bcb4-cbad3fb244b0"]},{"id":"ITEM-6","itemData":{"DOI":"10.1073/PNAS.1219266110","ISSN":"00278424","abstract":"Degassing of planetary interiors through surface volcanism plays an important role in the evolution of planetary bodies and atmospheres. On Earth, carbon dioxide and water are the primary volatile species in magmas. However, little is known about the speciation and degassing of carbon in magmas formed on other planets (i.e., Moon, Mars, Mercury), where the mantle oxidation state [oxygen fugacity (fO2)] is different from that of the Earth. Using experiments on a lunar basalt composition, we confirm that carbon dissolves as carbonate at an fO2 higher than -0.55 relative to the iron wustite oxygen buffer (IW-0.55), whereas at a lower fO2, we discover that carbon is present mainly as iron pentacarbonyl and in smaller amounts as methane in the melt. The transition of carbon speciation in mantle-derived melts at fO2 less than IW-0.55 is associated with a decrease in carbon solubility by a factor of 2. Thus, the fO2 controls carbon speciation and solubility in mantle-derived melts even more than previous data indicate, and the degassing of reduced carbon from Fe-rich basalts on planetary bodies would produce methane-bearing, CO-rich early atmospheres with a strong greenhouse potential.","author":[{"dropping-particle":"","family":"Wetzel","given":"Diane T.","non-dropping-particle":"","parse-names":false,"suffix":""},{"dropping-particle":"","family":"Rutherford","given":"Malcolm J.","non-dropping-particle":"","parse-names":false,"suffix":""},{"dropping-particle":"","family":"Jacobsen","given":"Steven D.","non-dropping-particle":"","parse-names":false,"suffix":""},{"dropping-particle":"","family":"Hauri","given":"Erik H.","non-dropping-particle":"","parse-names":false,"suffix":""},{"dropping-particle":"","family":"Saal","given":"Alberto E.","non-dropping-particle":"","parse-names":false,"suffix":""}],"container-title":"Proceedings of the National Academy of Sciences","id":"ITEM-6","issue":"20","issued":{"date-parts":[["2013","5","14"]]},"page":"8010-8013","publisher":"Proceedings of the National Academy of Sciences","title":"Degassing of reduced carbon from planetary basalts","type":"article-journal","volume":"110"},"uris":["http://www.mendeley.com/documents/?uuid=b657d41a-4628-3245-978b-75872b92a032"]}],"mendeley":{"formattedCitation":"(Ardia et al., 2013; Armstrong et al., 2015; Dixon et al., 1995; Hirschmann et al., 2012; Stanley et al., 2014; Wetzel et al., 2013)","manualFormatting":"(e.g., Ardia et al., 2013; Armstrong et al., 2015; Dixon et al., 1995; Hirschmann et al., 2012; Stanley et al., 2014; Wetzel et al., 2013)","plainTextFormattedCitation":"(Ardia et al., 2013; Armstrong et al., 2015; Dixon et al., 1995; Hirschmann et al., 2012; Stanley et al., 2014; Wetzel et al., 2013)","previouslyFormattedCitation":"(Ardia et al., 2013; Armstrong et al., 2015; Dixon et al., 1995; Hirschmann et al., 2012; Stanley et al., 2014; Wetzel et al., 2013)"},"properties":{"noteIndex":0},"schema":"https://github.com/citation-style-language/schema/raw/master/csl-citation.json"}</w:instrText>
      </w:r>
      <w:r w:rsidR="008B2CAC">
        <w:rPr>
          <w:rFonts w:ascii="Times New Roman" w:hAnsi="Times New Roman" w:cs="Times New Roman"/>
        </w:rPr>
        <w:fldChar w:fldCharType="separate"/>
      </w:r>
      <w:r w:rsidR="008B2CAC" w:rsidRPr="008B2CAC">
        <w:rPr>
          <w:rFonts w:ascii="Times New Roman" w:hAnsi="Times New Roman" w:cs="Times New Roman"/>
          <w:noProof/>
        </w:rPr>
        <w:t>(</w:t>
      </w:r>
      <w:r w:rsidR="008B2CAC">
        <w:rPr>
          <w:rFonts w:ascii="Times New Roman" w:hAnsi="Times New Roman" w:cs="Times New Roman"/>
          <w:noProof/>
        </w:rPr>
        <w:t xml:space="preserve">e.g., </w:t>
      </w:r>
      <w:r w:rsidR="008B2CAC" w:rsidRPr="008B2CAC">
        <w:rPr>
          <w:rFonts w:ascii="Times New Roman" w:hAnsi="Times New Roman" w:cs="Times New Roman"/>
          <w:noProof/>
        </w:rPr>
        <w:t>Ardia et al., 2013; Armstrong et al., 2015; Dixon et al., 1995; Hirschmann et al., 2012; Stanley et al., 2014; Wetzel et al., 2013)</w:t>
      </w:r>
      <w:r w:rsidR="008B2CAC">
        <w:rPr>
          <w:rFonts w:ascii="Times New Roman" w:hAnsi="Times New Roman" w:cs="Times New Roman"/>
        </w:rPr>
        <w:fldChar w:fldCharType="end"/>
      </w:r>
      <w:r w:rsidRPr="00372AD9">
        <w:rPr>
          <w:rFonts w:ascii="Times New Roman" w:hAnsi="Times New Roman" w:cs="Times New Roman"/>
        </w:rPr>
        <w:t xml:space="preserve">. However, the </w:t>
      </w:r>
      <w:r w:rsidRPr="00372AD9">
        <w:rPr>
          <w:rFonts w:ascii="Times New Roman" w:hAnsi="Times New Roman" w:cs="Times New Roman"/>
          <w:i/>
          <w:iCs/>
        </w:rPr>
        <w:t>C</w:t>
      </w:r>
      <w:r w:rsidRPr="00372AD9">
        <w:rPr>
          <w:rFonts w:ascii="Times New Roman" w:hAnsi="Times New Roman" w:cs="Times New Roman"/>
          <w:i/>
          <w:iCs/>
          <w:vertAlign w:val="subscript"/>
        </w:rPr>
        <w:t>i</w:t>
      </w:r>
      <w:r w:rsidRPr="00372AD9">
        <w:rPr>
          <w:rFonts w:ascii="Times New Roman" w:hAnsi="Times New Roman" w:cs="Times New Roman"/>
        </w:rPr>
        <w:t xml:space="preserve"> functions were assumed to be independent of </w:t>
      </w:r>
      <w:r w:rsidRPr="00372AD9">
        <w:rPr>
          <w:rFonts w:ascii="Times New Roman" w:hAnsi="Times New Roman" w:cs="Times New Roman"/>
          <w:i/>
          <w:iCs/>
        </w:rPr>
        <w:t>P</w:t>
      </w:r>
      <w:r w:rsidRPr="00372AD9">
        <w:rPr>
          <w:rFonts w:ascii="Times New Roman" w:hAnsi="Times New Roman" w:cs="Times New Roman"/>
        </w:rPr>
        <w:t xml:space="preserve"> for *S</w:t>
      </w:r>
      <w:r w:rsidRPr="00372AD9">
        <w:rPr>
          <w:rFonts w:ascii="Times New Roman" w:hAnsi="Times New Roman" w:cs="Times New Roman"/>
          <w:vertAlign w:val="superscript"/>
        </w:rPr>
        <w:t>2-</w:t>
      </w:r>
      <w:r w:rsidRPr="00372AD9">
        <w:rPr>
          <w:rFonts w:ascii="Times New Roman" w:hAnsi="Times New Roman" w:cs="Times New Roman"/>
        </w:rPr>
        <w:t>, SO</w:t>
      </w:r>
      <w:r w:rsidRPr="00372AD9">
        <w:rPr>
          <w:rFonts w:ascii="Times New Roman" w:hAnsi="Times New Roman" w:cs="Times New Roman"/>
          <w:vertAlign w:val="subscript"/>
        </w:rPr>
        <w:t>4</w:t>
      </w:r>
      <w:r w:rsidRPr="00372AD9">
        <w:rPr>
          <w:rFonts w:ascii="Times New Roman" w:hAnsi="Times New Roman" w:cs="Times New Roman"/>
          <w:vertAlign w:val="superscript"/>
        </w:rPr>
        <w:t>2-</w:t>
      </w:r>
      <w:r w:rsidRPr="00372AD9">
        <w:rPr>
          <w:rFonts w:ascii="Times New Roman" w:hAnsi="Times New Roman" w:cs="Times New Roman"/>
        </w:rPr>
        <w:t>, and H</w:t>
      </w:r>
      <w:r w:rsidRPr="00372AD9">
        <w:rPr>
          <w:rFonts w:ascii="Times New Roman" w:hAnsi="Times New Roman" w:cs="Times New Roman"/>
          <w:vertAlign w:val="subscript"/>
        </w:rPr>
        <w:t>2</w:t>
      </w:r>
      <w:r w:rsidRPr="00372AD9">
        <w:rPr>
          <w:rFonts w:ascii="Times New Roman" w:hAnsi="Times New Roman" w:cs="Times New Roman"/>
        </w:rPr>
        <w:t>S</w:t>
      </w:r>
      <w:r w:rsidRPr="00372AD9">
        <w:rPr>
          <w:rFonts w:ascii="Times New Roman" w:hAnsi="Times New Roman" w:cs="Times New Roman"/>
          <w:vertAlign w:val="subscript"/>
        </w:rPr>
        <w:t>mol</w:t>
      </w:r>
      <w:r w:rsidRPr="00372AD9">
        <w:rPr>
          <w:rFonts w:ascii="Times New Roman" w:hAnsi="Times New Roman" w:cs="Times New Roman"/>
        </w:rPr>
        <w:t xml:space="preserve"> due to a lack of data </w:t>
      </w:r>
      <w:r w:rsidR="008B2CAC">
        <w:rPr>
          <w:rFonts w:ascii="Times New Roman" w:hAnsi="Times New Roman" w:cs="Times New Roman"/>
        </w:rPr>
        <w:fldChar w:fldCharType="begin" w:fldLock="1"/>
      </w:r>
      <w:r w:rsidR="00923A61">
        <w:rPr>
          <w:rFonts w:ascii="Times New Roman" w:hAnsi="Times New Roman" w:cs="Times New Roman"/>
        </w:rPr>
        <w:instrText>ADDIN CSL_CITATION {"citationItems":[{"id":"ITEM-1","itemData":{"DOI":"10.1002/9781119473206.ch10","abstract":"A thermodynamic model to calculate the “Sulfide Content at Sulfide Saturation” or SCSS of basaltic and intermediate composition silicate melts has been built from four independently measurable ther...","author":[{"dropping-particle":"","family":"O'Neill","given":"Hugh St. C.","non-dropping-particle":"","parse-names":false,"suffix":""}],"container-title":"Magma Redox Geochemistry, Geophysical Monograph Series","editor":[{"dropping-particle":"","family":"Moretti","given":"Roberto","non-dropping-particle":"","parse-names":false,"suffix":""},{"dropping-particle":"","family":"Neuville","given":"Daniel R.","non-dropping-particle":"","parse-names":false,"suffix":""}],"id":"ITEM-1","issued":{"date-parts":[["2021"]]},"page":"177-213","publisher":"John Wiley &amp; Sons, Inc.","title":"The thermodynamic controls on sulfide saturation in silicate melts with application to Ocean Floor Basalts.","type":"chapter"},"uris":["http://www.mendeley.com/documents/?uuid=6f3ae3ca-6ecd-3137-8bfc-f37a8f3fea2a"]},{"id":"ITEM-2","itemData":{"DOI":"10.1016/J.GCA.2022.06.020","ISSN":"0016-7037","author":[{"dropping-particle":"","family":"O'Neill","given":"Hugh St. C.","non-dropping-particle":"","parse-names":false,"suffix":""},{"dropping-particle":"","family":"Mavrogenes","given":"John A.","non-dropping-particle":"","parse-names":false,"suffix":""}],"container-title":"Geochimica et Cosmochimica Acta","id":"ITEM-2","issued":{"date-parts":[["2022","6","27"]]},"publisher":"Pergamon","title":"The sulfate capacities of silicate melts","type":"article-journal"},"uris":["http://www.mendeley.com/documents/?uuid=28383afe-41b6-312f-a795-212a394fed74"]},{"id":"ITEM-3","itemData":{"DOI":"10.1093/petrology/egh052","ISSN":"1460-2415","author":[{"dropping-particle":"","family":"Clemente","given":"Béatrice","non-dropping-particle":"","parse-names":false,"suffix":""},{"dropping-particle":"","family":"SCAILLET","given":"BRUNO","non-dropping-particle":"","parse-names":false,"suffix":""},{"dropping-particle":"","family":"PICHAVANT","given":"MICHEL","non-dropping-particle":"","parse-names":false,"suffix":""}],"container-title":"Journal of Petrology","id":"ITEM-3","issue":"11","issued":{"date-parts":[["2004","8","12"]]},"page":"2171-2196","publisher":"Narnia","title":"The Solubility of Sulphur in Hydrous Rhyolitic Melts","type":"article-journal","volume":"45"},"uris":["http://www.mendeley.com/documents/?uuid=402aa7ac-0fab-3803-8fa3-c9af4bf02299"]},{"id":"ITEM-4","itemData":{"DOI":"10.1016/J.CHEMGEO.2015.03.025","ISSN":"0009-2541","abstract":"Experiments were performed to determine the sulfur solubilities of hydrous basalts from Vesuvius, Etna and Stromboli (Italy). The melts were equilibrated at 1050 and 1200°C with H2O and sulfur (added as pyrrhotite), and at pressures ranging from 250 to 2000bar. Most experiments were performed under oxidising conditions (NNO+2), and a few under reducing conditions (NNO−1), with melt water contents of 0.5–3.5wt.%. Sulfur contents in glasses were determined by electron microprobe and range from 860 up to 6700ppm. No compositional effect is found between the three alkali basaltic melts. The fugacities of S-bearing species were derived using an MRK equation of state applied to an O–H–S fluid, knowing H2 and H2O fugacities, and range from 50 up to 3000bar. A thermodynamic species-based model is derived from our results along with available data in the literature, assuming that sulfur dissolution results from the additive contributions of both H2S and SO2 dissolution reactions. Compared to similar models developed for silicic melts, basalt compositions requires the incorporation of an Fe term, which accounts for the strong association between Fe and S in silicate melts, and considers the elevated Fe content of mafic melts. The model shows that, at any fixed fS2, the sulfur solubility in hydrous basalt displays a pronounced minimum around NNO, the position of which depends on temperature. The minimum in sulfur solubility coincides with the redox range were the abundance of S2 in the fluid reaches its maximum compared to either H2S or SO2 species. Such a minimum in solubility is in agreement with experimental constraints at 1bar under carefully controlled fO2 and fS2. Calculated proportions of dissolved species in the melt depend on the prevailing fS2 and fO2, being in general agreement with available spectroscopic models. Calculations of gas saturation pressures, which classically consider only H2O and CO2 dissolved volatiles, are strongly affected by S-bearing species. At fO2 close to, or higher than, NNO+1, omission of sulfur species may result in underestimates of gas saturation pressures of 1kbar or more. The same happens at fO2 below NNO−1.","author":[{"dropping-particle":"","family":"Lesne","given":"Priscille","non-dropping-particle":"","parse-names":false,"suffix":""},{"dropping-particle":"","family":"Scaillet","given":"Bruno","non-dropping-particle":"","parse-names":false,"suffix":""},{"dropping-particle":"","family":"Pichavant","given":"Michel","non-dropping-particle":"","parse-names":false,"suffix":""}],"container-title":"Chemical Geology","id":"ITEM-4","issued":{"date-parts":[["2015","12","15"]]},"page":"104-116","publisher":"Elsevier","title":"The solubility of sulfur in hydrous basaltic melts","type":"article-journal","volume":"418"},"uris":["http://www.mendeley.com/documents/?uuid=8b5c3418-59ee-31b8-bbf9-6889a5f15dfc"]},{"id":"ITEM-5","itemData":{"DOI":"10.1007/s00410-008-0359-0","ISSN":"0010-7999","abstract":"The solubility of sulphur in sulphide-saturated, H2O-bearing basaltic–andesitic and basaltic melts from Hekla volcano (Iceland) has been determined experimentally at 1,050°C, 300 and 200 MPa, and redox conditions with oxygen fugacity (logfO2) between QFM−1.2 and QFM+1.1 (QFM is a quartz–fayalite–magnetite oxygen buffer) in the systems containing various amounts of S and H2O. The S content of the H2O-rich glasses saturated with pyrrhotite decreases from 2,500 ppm in basalt to 1,500 ppm in basaltic andesite at the investigated conditions. Furthermore, the reduction of water content in the melt at pyrrhotite saturation and fixed T, P and redox conditions leads to a decrease in S concentration from 2,500 to 1,400 ppm for basaltic experiments (for H2O decrease from 7.8 to 1.4 wt%) and from 1,500 to 900 ppm (for H2O decrease from 6.7 to 1.7 wt%) for basaltic andesitic experiments. Our experimental data, combined with silicate melt inclusion investigations and the available models on sulphide saturation in mafic magmas, indicate that the parental basaltic melts of Hekla were not saturated with respect to sulphide. During magmatic differentiation, the S content in the residual melts increased and might have reached sulphide saturation with 2,500 ppm dissolved S. With further magma crystallization, the S concentration in the melt was controlled by the sulphide saturation of the magma, decreasing from ~2,500 to 900 ppm S.","author":[{"dropping-particle":"","family":"Moune","given":"Séverine","non-dropping-particle":"","parse-names":false,"suffix":""},{"dropping-particle":"","family":"Holtz","given":"François","non-dropping-particle":"","parse-names":false,"suffix":""},{"dropping-particle":"","family":"Botcharnikov","given":"Roman E.","non-dropping-particle":"","parse-names":false,"suffix":""}],"container-title":"Contributions to Mineralogy and Petrology","id":"ITEM-5","issue":"6","issued":{"date-parts":[["2009","6","2"]]},"page":"691-707","publisher":"Springer","title":"Sulphur solubility in andesitic to basaltic melts: implications for Hekla volcano","type":"article-journal","volume":"157"},"uris":["http://www.mendeley.com/documents/?uuid=d9f9a41a-1ffd-37d0-a592-3ef96a69d592"]}],"mendeley":{"formattedCitation":"(Clemente et al., 2004; Lesne et al., 2015; Moune et al., 2009; O’Neill, 2021; O’Neill and Mavrogenes, 2022)","manualFormatting":"(e.g., Clemente et al., 2004; Lesne et al., 2015; Moune et al., 2009; O’Neill, 2021; O’Neill and Mavrogenes, 2022)","plainTextFormattedCitation":"(Clemente et al., 2004; Lesne et al., 2015; Moune et al., 2009; O’Neill, 2021; O’Neill and Mavrogenes, 2022)","previouslyFormattedCitation":"(Clemente et al., 2004; Lesne et al., 2015; Moune et al., 2009; O’Neill, 2021; O’Neill and Mavrogenes, 2022)"},"properties":{"noteIndex":0},"schema":"https://github.com/citation-style-language/schema/raw/master/csl-citation.json"}</w:instrText>
      </w:r>
      <w:r w:rsidR="008B2CAC">
        <w:rPr>
          <w:rFonts w:ascii="Times New Roman" w:hAnsi="Times New Roman" w:cs="Times New Roman"/>
        </w:rPr>
        <w:fldChar w:fldCharType="separate"/>
      </w:r>
      <w:r w:rsidR="008B2CAC" w:rsidRPr="008B2CAC">
        <w:rPr>
          <w:rFonts w:ascii="Times New Roman" w:hAnsi="Times New Roman" w:cs="Times New Roman"/>
          <w:noProof/>
        </w:rPr>
        <w:t>(</w:t>
      </w:r>
      <w:r w:rsidR="008B2CAC">
        <w:rPr>
          <w:rFonts w:ascii="Times New Roman" w:hAnsi="Times New Roman" w:cs="Times New Roman"/>
          <w:noProof/>
        </w:rPr>
        <w:t xml:space="preserve">e.g., </w:t>
      </w:r>
      <w:r w:rsidR="008B2CAC" w:rsidRPr="008B2CAC">
        <w:rPr>
          <w:rFonts w:ascii="Times New Roman" w:hAnsi="Times New Roman" w:cs="Times New Roman"/>
          <w:noProof/>
        </w:rPr>
        <w:t>Clemente et al., 2004; Lesne et al., 2015; Moune et al., 2009; O’Neill, 2021; O’Neill and Mavrogenes, 2022)</w:t>
      </w:r>
      <w:r w:rsidR="008B2CAC">
        <w:rPr>
          <w:rFonts w:ascii="Times New Roman" w:hAnsi="Times New Roman" w:cs="Times New Roman"/>
        </w:rPr>
        <w:fldChar w:fldCharType="end"/>
      </w:r>
      <w:r w:rsidRPr="00372AD9">
        <w:rPr>
          <w:rFonts w:ascii="Times New Roman" w:hAnsi="Times New Roman" w:cs="Times New Roman"/>
        </w:rPr>
        <w:t xml:space="preserve"> and for H</w:t>
      </w:r>
      <w:r w:rsidRPr="00372AD9">
        <w:rPr>
          <w:rFonts w:ascii="Times New Roman" w:hAnsi="Times New Roman" w:cs="Times New Roman"/>
          <w:vertAlign w:val="subscript"/>
        </w:rPr>
        <w:t>2</w:t>
      </w:r>
      <w:r w:rsidRPr="00372AD9">
        <w:rPr>
          <w:rFonts w:ascii="Times New Roman" w:hAnsi="Times New Roman" w:cs="Times New Roman"/>
        </w:rPr>
        <w:t>O</w:t>
      </w:r>
      <w:r w:rsidRPr="00372AD9">
        <w:rPr>
          <w:rFonts w:ascii="Times New Roman" w:hAnsi="Times New Roman" w:cs="Times New Roman"/>
          <w:vertAlign w:val="subscript"/>
        </w:rPr>
        <w:t>T</w:t>
      </w:r>
      <w:r w:rsidRPr="00372AD9">
        <w:rPr>
          <w:rFonts w:ascii="Times New Roman" w:hAnsi="Times New Roman" w:cs="Times New Roman"/>
        </w:rPr>
        <w:t xml:space="preserve"> because available data suggest it is of minor importance over most of the </w:t>
      </w:r>
      <w:r w:rsidRPr="00372AD9">
        <w:rPr>
          <w:rFonts w:ascii="Times New Roman" w:hAnsi="Times New Roman" w:cs="Times New Roman"/>
          <w:i/>
          <w:iCs/>
        </w:rPr>
        <w:t>P</w:t>
      </w:r>
      <w:r w:rsidRPr="00372AD9">
        <w:rPr>
          <w:rFonts w:ascii="Times New Roman" w:hAnsi="Times New Roman" w:cs="Times New Roman"/>
        </w:rPr>
        <w:t xml:space="preserve"> interval for the calculations presented here</w:t>
      </w:r>
      <w:r w:rsidR="008B2CAC">
        <w:rPr>
          <w:rFonts w:ascii="Times New Roman" w:hAnsi="Times New Roman" w:cs="Times New Roman"/>
        </w:rPr>
        <w:t xml:space="preserve"> </w:t>
      </w:r>
      <w:r w:rsidR="008B2CAC">
        <w:rPr>
          <w:rFonts w:ascii="Times New Roman" w:hAnsi="Times New Roman" w:cs="Times New Roman"/>
        </w:rPr>
        <w:fldChar w:fldCharType="begin" w:fldLock="1"/>
      </w:r>
      <w:r w:rsidR="003910EA">
        <w:rPr>
          <w:rFonts w:ascii="Times New Roman" w:hAnsi="Times New Roman" w:cs="Times New Roman"/>
        </w:rPr>
        <w:instrText>ADDIN CSL_CITATION {"citationItems":[{"id":"ITEM-1","itemData":{"DOI":"10.1007/S00410-010-0588-X/FIGURES/12","ISSN":"00107999","abstract":"Experiments were conducted to determine the water solubility of alkali basalts from Etna, Stromboli and Vesuvius volcanoes, Italy. The basaltic melts were equilibrated at 1,200°C with pure water, under oxidized conditions, and at pressures ranging from 163 to 3,842 bars. Our results show that at pressures above 1 kbar, alkali basalts dissolve more water than typical mid-ocean ridge basalts (MORB). Combination of our data with those from previous studies allows the following simple empirical model for the water solubility of basalts of varying alkalinity and fO2 to be derived: H2O(wt%) = H2OMORB(wt%)+(5.84 × 10-5 * P-2.29 × 10-2) × (Na2O+K2O)(wt%)+4.67 × 10-2 × ΔNNO - 2.29 × 10-1 where H2OMORB is the water solubility at the calculated P, using the model of Dixon et al. (1995). This equation reproduces the existing database on water solubilities in basaltic melts to within 5%. Interpretation of the speciation data in the context of the glass transition theory shows that water speciation in basalt melts is severely modified during quench. At magmatic temperatures, more than 90% of dissolved water forms hydroxyl groups at all water contents, whilst in natural or synthetic glasses, the amount of molecular water is much larger. A regular solution model with an explicit temperature dependence reproduces well-observed water species. Derivation of the partial molar volume of molecular water using standard thermodynamic considerations yields values close to previous findings if room temperature water species are used. When high temperature species proportions are used, a negative partial molar volume is obtained for molecular water. Calculation of the partial molar volume of total water using H2O solubility data on basaltic melts at pressures above 1 kbar yields a value of 19 cm3/mol in reasonable agreement with estimates obtained from density measurements. © 2010 Springer-Verlag.","author":[{"dropping-particle":"","family":"Lesne","given":"Priscille","non-dropping-particle":"","parse-names":false,"suffix":""},{"dropping-particle":"","family":"Scaillet","given":"Bruno","non-dropping-particle":"","parse-names":false,"suffix":""},{"dropping-particle":"","family":"Pichavant","given":"Michel","non-dropping-particle":"","parse-names":false,"suffix":""},{"dropping-particle":"","family":"Iacono-Marziano","given":"Giada","non-dropping-particle":"","parse-names":false,"suffix":""},{"dropping-particle":"","family":"Beny","given":"Jean Michel","non-dropping-particle":"","parse-names":false,"suffix":""}],"container-title":"Contributions to Mineralogy and Petrology","id":"ITEM-1","issue":"1","issued":{"date-parts":[["2011","7","13"]]},"page":"133-151","publisher":"Springer","title":"The H2O solubility of alkali basaltic melts: An experimental study","type":"article-journal","volume":"162"},"uris":["http://www.mendeley.com/documents/?uuid=0b473f09-3a8d-35f3-a370-20542d8405db"]},{"id":"ITEM-2","itemData":{"abstract":"Degassing processes in basaltic magmas rich in both water and carbon dioxide can be modeled using the solubilities of the endmember systems and the assumption of Henry's law. Suites of vapor-saturated basaltic melts having a range of initial C02/ H20 ratios and erupted over a narrow depth interval will define negative!; sloped arrays on an H20 vs C02 plot. It is important that all of the major volatile species be considered simultaneous!; when interpreting trends in dissolved volatile species concentrations in magmas. Based on measured concentrations of water and carbon dioxide in basaltic glasses, the composition of the vapor phase at 120ff'C that could coexist with a basaltic melt and the pressure at which it would be vapor saturated can be calculated. The range in vapor compositions in equilibrium with submarine basalts rejhcts the range in water contents in the melts characteristic of each environment. The ranges in the molar proportion of CO2 in vapor phases (Xco) calculated to be in equilibrium with submarine tholeiitic glasses are 0 · 93- 1 ·00 for mid-ocean ridge basalts (MORE), 0 ·6o-o · 99 for glasses from Kilauea [representative of ocean island basalts ( OIB) J and o-o · 94 for glasses from back-arc basins (BABE). MORE glasses from spreading centers ranging from slow (e.g. the Mid-Atlantic Ridge) to fast (e.g. East Pacific Rise, 9- 13° .N) are common!; supersaturated with respect to COrrich vapor, resulting from magma ascent rates so rapid that magmas erupt on the seafloor without having been .ful!J degassed by bubble nucleation and growth during ascent. In contrast to the MORE glasses, volatile contents in submarine glasses from Kilauea are consistent with having been in equilibrium with a vapor phase containing 60- 100 mol% C02 at the pressure of eruption, riflecting differences in average magma transport rates during eruptions at mid-ocean ridges and hotspot volcanoes. *Corresponding author. Present address: Rosenstiel School of Marine and Atmospheric Science, Division of Marine Geology and Geophysics, University of Miami, Miami, FL 33149-1098, USA Degassing during decompression of tholeiitic basaltic magma is characterized by strong partitioning of C02 into the vapor phase. During open system degassing, C02 is rapid!; removed from the melt with negligible loss of water, until a pressure is reached at which the melt is in equilibrium with near!; pure water vapor. From this pressure downward, the water content of the melt follows the water …","author":[{"dropping-particle":"","family":"Dixon","given":"Jacqueline Eaby","non-dropping-particle":"","parse-names":false,"suffix":""},{"dropping-particle":"","family":"Stolper","given":"Edward M.","non-dropping-particle":"","parse-names":false,"suffix":""}],"container-title":"Journal of Petrology","id":"ITEM-2","issue":"6","issued":{"date-parts":[["1995"]]},"page":"1633-1646","title":"An experimental study water and carbon dioxide solubilities in mid-ocean ridge basaltic liquids. Part II: Application to degassing","type":"article-journal","volume":"36"},"uris":["http://www.mendeley.com/documents/?uuid=38713b07-e299-4d03-849e-8164f6de93d7"]},{"id":"ITEM-3","itemData":{"DOI":"10.1016/J.CHEMGEO.2014.09.001","ISSN":"0009-2541","abstract":"The effect of the anhydrous composition on the solubilities of H2O and CO2 in mafic melts varying from MORB to nephelinite was investigated experimentally between 50 and 500MPa at 1200 to 1250°C. In all compositions, CO2 is only present as carbonate species in the quenched glasses. The concentrations of dissolved H2O and CO2 have been analyzed by KFT (Karl–Fischer titration) and FTIR (Fourier-transform infrared spectroscopy). The Mid-Infrared (MIR) absorption coefficients for the H2O band at 3500cm−1 are identical within error for all investigated melt compositions and equal to 59.2±4L/(mol</w:instrText>
      </w:r>
      <w:r w:rsidR="003910EA">
        <w:rPr>
          <w:rFonts w:ascii="Cambria Math" w:hAnsi="Cambria Math" w:cs="Cambria Math"/>
        </w:rPr>
        <w:instrText>∗</w:instrText>
      </w:r>
      <w:r w:rsidR="003910EA">
        <w:rPr>
          <w:rFonts w:ascii="Times New Roman" w:hAnsi="Times New Roman" w:cs="Times New Roman"/>
        </w:rPr>
        <w:instrText>cm). The absorption coefficients for the carbonate bands vary in the range 306±32 to 360±24L/(mol</w:instrText>
      </w:r>
      <w:r w:rsidR="003910EA">
        <w:rPr>
          <w:rFonts w:ascii="Cambria Math" w:hAnsi="Cambria Math" w:cs="Cambria Math"/>
        </w:rPr>
        <w:instrText>∗</w:instrText>
      </w:r>
      <w:r w:rsidR="003910EA">
        <w:rPr>
          <w:rFonts w:ascii="Times New Roman" w:hAnsi="Times New Roman" w:cs="Times New Roman"/>
        </w:rPr>
        <w:instrText>cm) for the 1430cm−1 band and in the range 349±25 to 394±27L/(mol</w:instrText>
      </w:r>
      <w:r w:rsidR="003910EA">
        <w:rPr>
          <w:rFonts w:ascii="Cambria Math" w:hAnsi="Cambria Math" w:cs="Cambria Math"/>
        </w:rPr>
        <w:instrText>∗</w:instrText>
      </w:r>
      <w:r w:rsidR="003910EA">
        <w:rPr>
          <w:rFonts w:ascii="Times New Roman" w:hAnsi="Times New Roman" w:cs="Times New Roman"/>
        </w:rPr>
        <w:instrText>cm) for the 1520cm−1 band. However, a simple correlation with the melt composition could not be determined. Water solubility in mafic to intermediate melts increases slightly with the total alkali content and the effect of composition is more pronounced at higher pressures. At 500MPa, the solubility of H2O in melts coexisting with nearly pure H2O fluids varies from 8.8 to 9.5wt.% H2O. A strong effect of melt composition on the solubility of CO2 is observed at all investigated pressures. For instance, at 500MPa, mafic melts coexisting with nearly pure CO2 fluids can dissolve from around 0.32 to more than 1.30wt.% CO2 as melt composition changes from tholeiite to nephelinite. The compositional effect on the solubility of CO2 in melts coexisting with pure CO2 fluid is best described by non-linear (exponential) correlations with compositional parameters such as the parameter Π proposed by Dixon (1997; American Mineralogist, 82: 368–378) or structural parameters (e.g., nonbridging oxygen per tetrahedrally coordinated cation). The obtained relationships are used to propose empirically derived equations of the form ln(CO2)=1.150·lnP+6.71·Π*−1.345, where CO2 is the solubility of CO2 in silicate melts in wt.% (at 1200 to 1250°C), P is pressure in MPa and Π* is a compositional parameter (Π*=Ca2++0.8K++0.7Na++0.4Mg2++0.4Fe2+)/(Si4++Al3+) with cations expressed as cation fractions in melt.","author":[{"dropping-particle":"","family":"Shishkina","given":"Tatiana A.","non-dropping-particle":"","parse-names":false,"suffix":""},{"dropping-particle":"","family":"Botcharnikov","given":"Roman E.","non-dropping-particle":"","parse-names":false,"suffix":""},{"dropping-particle":"","family":"Holtz","given":"Francois","non-dropping-particle":"","parse-names":false,"suffix":""},{"dropping-particle":"","family":"Almeev","given":"R.R.","non-dropping-particle":"","parse-names":false,"suffix":""},{"dropping-particle":"","family":"Jazwa","given":"Aleksandra M.","non-dropping-particle":"","parse-names":false,"suffix":""},{"dropping-particle":"","family":"Jakubiak","given":"Artur A.","non-dropping-particle":"","parse-names":false,"suffix":""}],"container-title":"Chemical Geology","id":"ITEM-3","issued":{"date-parts":[["2014","11","21"]]},"page":"112-129","publisher":"Elsevier","title":"Compositional and pressure effects on the solubility of H2O and CO2 in mafic melts","type":"article-journal","volume":"388"},"uris":["http://www.mendeley.com/documents/?uuid=8086ff59-80db-3e86-80f9-941380b36082"]}],"mendeley":{"formattedCitation":"(Dixon and Stolper, 1995; Lesne et al., 2011; Shishkina et al., 2014)","manualFormatting":"(e.g., Dixon and Stolper, 1995; Lesne et al., 2011; Shishkina et al., 2014)","plainTextFormattedCitation":"(Dixon and Stolper, 1995; Lesne et al., 2011; Shishkina et al., 2014)","previouslyFormattedCitation":"(Dixon and Stolper, 1995; Lesne et al., 2011; Shishkina et al., 2014)"},"properties":{"noteIndex":0},"schema":"https://github.com/citation-style-language/schema/raw/master/csl-citation.json"}</w:instrText>
      </w:r>
      <w:r w:rsidR="008B2CAC">
        <w:rPr>
          <w:rFonts w:ascii="Times New Roman" w:hAnsi="Times New Roman" w:cs="Times New Roman"/>
        </w:rPr>
        <w:fldChar w:fldCharType="separate"/>
      </w:r>
      <w:r w:rsidR="003910EA" w:rsidRPr="003910EA">
        <w:rPr>
          <w:rFonts w:ascii="Times New Roman" w:hAnsi="Times New Roman" w:cs="Times New Roman"/>
          <w:noProof/>
        </w:rPr>
        <w:t>(</w:t>
      </w:r>
      <w:r w:rsidR="003910EA">
        <w:rPr>
          <w:rFonts w:ascii="Times New Roman" w:hAnsi="Times New Roman" w:cs="Times New Roman"/>
          <w:noProof/>
        </w:rPr>
        <w:t xml:space="preserve">e.g., </w:t>
      </w:r>
      <w:r w:rsidR="003910EA" w:rsidRPr="003910EA">
        <w:rPr>
          <w:rFonts w:ascii="Times New Roman" w:hAnsi="Times New Roman" w:cs="Times New Roman"/>
          <w:noProof/>
        </w:rPr>
        <w:t>Dixon and Stolper, 1995; Lesne et al., 2011; Shishkina et al., 2014)</w:t>
      </w:r>
      <w:r w:rsidR="008B2CAC">
        <w:rPr>
          <w:rFonts w:ascii="Times New Roman" w:hAnsi="Times New Roman" w:cs="Times New Roman"/>
        </w:rPr>
        <w:fldChar w:fldCharType="end"/>
      </w:r>
      <w:r w:rsidRPr="00372AD9">
        <w:rPr>
          <w:rFonts w:ascii="Times New Roman" w:hAnsi="Times New Roman" w:cs="Times New Roman"/>
        </w:rPr>
        <w:t>. Therefore, the calculated build-up of relatively insoluble C-O-H</w:t>
      </w:r>
      <w:r w:rsidR="00987A11">
        <w:rPr>
          <w:rFonts w:ascii="Times New Roman" w:hAnsi="Times New Roman" w:cs="Times New Roman"/>
        </w:rPr>
        <w:t xml:space="preserve"> </w:t>
      </w:r>
      <w:r w:rsidRPr="00372AD9">
        <w:rPr>
          <w:rFonts w:ascii="Times New Roman" w:hAnsi="Times New Roman" w:cs="Times New Roman"/>
        </w:rPr>
        <w:t xml:space="preserve">species at low </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xml:space="preserve"> incorporates the influence of </w:t>
      </w:r>
      <w:r w:rsidRPr="00372AD9">
        <w:rPr>
          <w:rFonts w:ascii="Times New Roman" w:hAnsi="Times New Roman" w:cs="Times New Roman"/>
          <w:i/>
          <w:iCs/>
        </w:rPr>
        <w:t>P</w:t>
      </w:r>
      <w:r w:rsidRPr="00372AD9">
        <w:rPr>
          <w:rFonts w:ascii="Times New Roman" w:hAnsi="Times New Roman" w:cs="Times New Roman"/>
        </w:rPr>
        <w:t xml:space="preserve"> on </w:t>
      </w:r>
      <w:r w:rsidRPr="00372AD9">
        <w:rPr>
          <w:rFonts w:ascii="Times New Roman" w:hAnsi="Times New Roman" w:cs="Times New Roman"/>
          <w:i/>
          <w:iCs/>
        </w:rPr>
        <w:t>C</w:t>
      </w:r>
      <w:r w:rsidRPr="00372AD9">
        <w:rPr>
          <w:rFonts w:ascii="Times New Roman" w:hAnsi="Times New Roman" w:cs="Times New Roman"/>
          <w:i/>
          <w:iCs/>
          <w:vertAlign w:val="subscript"/>
        </w:rPr>
        <w:t>i</w:t>
      </w:r>
      <w:r w:rsidRPr="00372AD9">
        <w:rPr>
          <w:rFonts w:ascii="Times New Roman" w:hAnsi="Times New Roman" w:cs="Times New Roman"/>
        </w:rPr>
        <w:t xml:space="preserve">’s. However, the possible importance of the </w:t>
      </w:r>
      <w:r w:rsidRPr="00372AD9">
        <w:rPr>
          <w:rFonts w:ascii="Times New Roman" w:hAnsi="Times New Roman" w:cs="Times New Roman"/>
          <w:i/>
          <w:iCs/>
        </w:rPr>
        <w:t>P</w:t>
      </w:r>
      <w:r w:rsidRPr="00372AD9">
        <w:rPr>
          <w:rFonts w:ascii="Times New Roman" w:hAnsi="Times New Roman" w:cs="Times New Roman"/>
        </w:rPr>
        <w:t xml:space="preserve">-dependence of the </w:t>
      </w:r>
      <w:r w:rsidRPr="00372AD9">
        <w:rPr>
          <w:rFonts w:ascii="Times New Roman" w:hAnsi="Times New Roman" w:cs="Times New Roman"/>
          <w:i/>
          <w:iCs/>
        </w:rPr>
        <w:t>C</w:t>
      </w:r>
      <w:r w:rsidRPr="00372AD9">
        <w:rPr>
          <w:rFonts w:ascii="Times New Roman" w:hAnsi="Times New Roman" w:cs="Times New Roman"/>
          <w:i/>
          <w:iCs/>
          <w:vertAlign w:val="subscript"/>
        </w:rPr>
        <w:t>i</w:t>
      </w:r>
      <w:r w:rsidRPr="00372AD9">
        <w:rPr>
          <w:rFonts w:ascii="Times New Roman" w:hAnsi="Times New Roman" w:cs="Times New Roman"/>
        </w:rPr>
        <w:t xml:space="preserve">’s of the S-bearing species remains to be quantified, which could influence the magnitude and </w:t>
      </w:r>
      <w:r w:rsidRPr="00372AD9">
        <w:rPr>
          <w:rFonts w:ascii="Times New Roman" w:hAnsi="Times New Roman" w:cs="Times New Roman"/>
          <w:i/>
          <w:iCs/>
        </w:rPr>
        <w:t>f</w:t>
      </w:r>
      <w:r w:rsidRPr="00372AD9">
        <w:rPr>
          <w:rFonts w:ascii="Times New Roman" w:hAnsi="Times New Roman" w:cs="Times New Roman"/>
          <w:vertAlign w:val="subscript"/>
        </w:rPr>
        <w:t>O2</w:t>
      </w:r>
      <w:r w:rsidRPr="00372AD9">
        <w:rPr>
          <w:rFonts w:ascii="Times New Roman" w:hAnsi="Times New Roman" w:cs="Times New Roman"/>
        </w:rPr>
        <w:t xml:space="preserve">-position of the </w:t>
      </w:r>
      <w:proofErr w:type="spellStart"/>
      <w:r w:rsidRPr="00372AD9">
        <w:rPr>
          <w:rFonts w:ascii="Times New Roman" w:hAnsi="Times New Roman" w:cs="Times New Roman"/>
          <w:i/>
          <w:iCs/>
        </w:rPr>
        <w:t>P</w:t>
      </w:r>
      <w:r w:rsidRPr="00372AD9">
        <w:rPr>
          <w:rFonts w:ascii="Times New Roman" w:hAnsi="Times New Roman" w:cs="Times New Roman"/>
          <w:i/>
          <w:iCs/>
          <w:vertAlign w:val="superscript"/>
        </w:rPr>
        <w:t>v</w:t>
      </w:r>
      <w:r w:rsidRPr="00372AD9">
        <w:rPr>
          <w:rFonts w:ascii="Times New Roman" w:hAnsi="Times New Roman" w:cs="Times New Roman"/>
          <w:vertAlign w:val="subscript"/>
        </w:rPr>
        <w:t>sat</w:t>
      </w:r>
      <w:proofErr w:type="spellEnd"/>
      <w:r w:rsidRPr="00372AD9">
        <w:rPr>
          <w:rFonts w:ascii="Times New Roman" w:hAnsi="Times New Roman" w:cs="Times New Roman"/>
        </w:rPr>
        <w:t xml:space="preserve"> maximum.</w:t>
      </w:r>
    </w:p>
    <w:p w14:paraId="414E29F0" w14:textId="77777777" w:rsidR="00500516" w:rsidRPr="00372AD9" w:rsidRDefault="00500516" w:rsidP="00372AD9">
      <w:pPr>
        <w:jc w:val="both"/>
        <w:rPr>
          <w:rFonts w:ascii="Times New Roman" w:hAnsi="Times New Roman" w:cs="Times New Roman"/>
        </w:rPr>
      </w:pPr>
    </w:p>
    <w:p w14:paraId="30FD3C73" w14:textId="77777777" w:rsidR="00372AD9" w:rsidRPr="00372AD9" w:rsidRDefault="00372AD9" w:rsidP="00372AD9">
      <w:pPr>
        <w:pStyle w:val="Heading2"/>
        <w:rPr>
          <w:rFonts w:ascii="Times New Roman" w:hAnsi="Times New Roman"/>
          <w:szCs w:val="24"/>
        </w:rPr>
      </w:pPr>
      <w:r w:rsidRPr="00372AD9">
        <w:rPr>
          <w:rFonts w:ascii="Times New Roman" w:hAnsi="Times New Roman"/>
          <w:szCs w:val="24"/>
        </w:rPr>
        <w:t>Ideal mixing of non-ideal gases</w:t>
      </w:r>
    </w:p>
    <w:p w14:paraId="7E04CD28" w14:textId="61A774BC" w:rsidR="00372AD9" w:rsidRDefault="00372AD9" w:rsidP="00147AF9">
      <w:pPr>
        <w:ind w:firstLine="720"/>
        <w:jc w:val="both"/>
        <w:rPr>
          <w:rFonts w:ascii="Times New Roman" w:hAnsi="Times New Roman" w:cs="Times New Roman"/>
        </w:rPr>
      </w:pPr>
      <w:r w:rsidRPr="00372AD9">
        <w:rPr>
          <w:rFonts w:ascii="Times New Roman" w:hAnsi="Times New Roman" w:cs="Times New Roman"/>
        </w:rPr>
        <w:t xml:space="preserve">An important uncertainty in our modelling results from the </w:t>
      </w:r>
      <w:r w:rsidRPr="00372AD9">
        <w:rPr>
          <w:rFonts w:ascii="Times New Roman" w:hAnsi="Times New Roman" w:cs="Times New Roman"/>
          <w:i/>
          <w:iCs/>
        </w:rPr>
        <w:t>P</w:t>
      </w:r>
      <w:r w:rsidRPr="00372AD9">
        <w:rPr>
          <w:rFonts w:ascii="Times New Roman" w:hAnsi="Times New Roman" w:cs="Times New Roman"/>
        </w:rPr>
        <w:t>-dependence of fugacity coefficients. The fugacity coefficients for SO</w:t>
      </w:r>
      <w:r w:rsidRPr="00372AD9">
        <w:rPr>
          <w:rFonts w:ascii="Times New Roman" w:hAnsi="Times New Roman" w:cs="Times New Roman"/>
          <w:vertAlign w:val="subscript"/>
        </w:rPr>
        <w:t>2</w:t>
      </w:r>
      <w:r w:rsidRPr="00372AD9">
        <w:rPr>
          <w:rFonts w:ascii="Times New Roman" w:hAnsi="Times New Roman" w:cs="Times New Roman"/>
        </w:rPr>
        <w:t xml:space="preserve"> and H</w:t>
      </w:r>
      <w:r w:rsidRPr="00372AD9">
        <w:rPr>
          <w:rFonts w:ascii="Times New Roman" w:hAnsi="Times New Roman" w:cs="Times New Roman"/>
          <w:vertAlign w:val="subscript"/>
        </w:rPr>
        <w:t>2</w:t>
      </w:r>
      <w:r w:rsidRPr="00372AD9">
        <w:rPr>
          <w:rFonts w:ascii="Times New Roman" w:hAnsi="Times New Roman" w:cs="Times New Roman"/>
        </w:rPr>
        <w:t>S are large and the</w:t>
      </w:r>
      <w:r w:rsidR="0072587A">
        <w:rPr>
          <w:rFonts w:ascii="Times New Roman" w:hAnsi="Times New Roman" w:cs="Times New Roman"/>
        </w:rPr>
        <w:t xml:space="preserve"> </w:t>
      </w:r>
      <w:r w:rsidR="0072587A">
        <w:rPr>
          <w:rFonts w:ascii="Times New Roman" w:hAnsi="Times New Roman" w:cs="Times New Roman"/>
        </w:rPr>
        <w:fldChar w:fldCharType="begin" w:fldLock="1"/>
      </w:r>
      <w:r w:rsidR="00BA4BD9">
        <w:rPr>
          <w:rFonts w:ascii="Times New Roman" w:hAnsi="Times New Roman" w:cs="Times New Roman"/>
        </w:rPr>
        <w:instrText>ADDIN CSL_CITATION {"citationItems":[{"id":"ITEM-1","itemData":{"abstract":"The pressure-volume-temperature (P-V-T) relations and fugacities of pure fluid phases in the C-H-O-S system (H2O, CO2, CH4, CO, O2, H2, S2, SO2, COS, H2S) are determined from the equation of corresponding state and other empirical equations from low temperature and pressure to moderate temperature and pressure. The intermolecular potential theory is used to calculate the pressure-volume-temperature-composition (P-V-T-X) and, pressure-volume-temperature-activity (P-V-T-a) relations in the C-H-O-S fluid mixture. The model is useful in calculations of phase equilibria and fluid proportions over the temperature-pressure range of the crust of the Earth.","author":[{"dropping-particle":"","family":"Shi","given":"Pingfang","non-dropping-particle":"","parse-names":false,"suffix":""},{"dropping-particle":"","family":"Saxena","given":"S.K.","non-dropping-particle":"","parse-names":false,"suffix":""}],"container-title":"American Mineralogist","id":"ITEM-1","issue":"9-10","issued":{"date-parts":[["1992","10","1"]]},"page":"1038-1049","title":"Thermodynamic modeing of the C-H-O-S fluid system","type":"article-journal","volume":"77"},"uris":["http://www.mendeley.com/documents/?uuid=d21b529c-601e-31f2-95b0-3e8bab90fedd"]}],"mendeley":{"formattedCitation":"(Shi and Saxena, 1992)","manualFormatting":"Shi and Saxena (1992)","plainTextFormattedCitation":"(Shi and Saxena, 1992)","previouslyFormattedCitation":"(Shi and Saxena, 1992)"},"properties":{"noteIndex":0},"schema":"https://github.com/citation-style-language/schema/raw/master/csl-citation.json"}</w:instrText>
      </w:r>
      <w:r w:rsidR="0072587A">
        <w:rPr>
          <w:rFonts w:ascii="Times New Roman" w:hAnsi="Times New Roman" w:cs="Times New Roman"/>
        </w:rPr>
        <w:fldChar w:fldCharType="separate"/>
      </w:r>
      <w:r w:rsidR="0072587A" w:rsidRPr="0072587A">
        <w:rPr>
          <w:rFonts w:ascii="Times New Roman" w:hAnsi="Times New Roman" w:cs="Times New Roman"/>
          <w:noProof/>
        </w:rPr>
        <w:t xml:space="preserve">Shi and Saxena </w:t>
      </w:r>
      <w:r w:rsidR="0072587A">
        <w:rPr>
          <w:rFonts w:ascii="Times New Roman" w:hAnsi="Times New Roman" w:cs="Times New Roman"/>
          <w:noProof/>
        </w:rPr>
        <w:t>(</w:t>
      </w:r>
      <w:r w:rsidR="0072587A" w:rsidRPr="0072587A">
        <w:rPr>
          <w:rFonts w:ascii="Times New Roman" w:hAnsi="Times New Roman" w:cs="Times New Roman"/>
          <w:noProof/>
        </w:rPr>
        <w:t>1992)</w:t>
      </w:r>
      <w:r w:rsidR="0072587A">
        <w:rPr>
          <w:rFonts w:ascii="Times New Roman" w:hAnsi="Times New Roman" w:cs="Times New Roman"/>
        </w:rPr>
        <w:fldChar w:fldCharType="end"/>
      </w:r>
      <w:r w:rsidRPr="00372AD9">
        <w:rPr>
          <w:rFonts w:ascii="Times New Roman" w:hAnsi="Times New Roman" w:cs="Times New Roman"/>
          <w:color w:val="4472C4" w:themeColor="accent1"/>
        </w:rPr>
        <w:t xml:space="preserve"> </w:t>
      </w:r>
      <w:r w:rsidRPr="00372AD9">
        <w:rPr>
          <w:rFonts w:ascii="Times New Roman" w:hAnsi="Times New Roman" w:cs="Times New Roman"/>
        </w:rPr>
        <w:t xml:space="preserve">parameterizations that we used for these species are unphysical at low </w:t>
      </w:r>
      <w:r w:rsidRPr="00372AD9">
        <w:rPr>
          <w:rFonts w:ascii="Times New Roman" w:hAnsi="Times New Roman" w:cs="Times New Roman"/>
          <w:i/>
          <w:iCs/>
        </w:rPr>
        <w:t>P</w:t>
      </w:r>
      <w:r w:rsidRPr="00372AD9">
        <w:rPr>
          <w:rFonts w:ascii="Times New Roman" w:hAnsi="Times New Roman" w:cs="Times New Roman"/>
        </w:rPr>
        <w:t xml:space="preserve"> where </w:t>
      </w:r>
      <w:proofErr w:type="spellStart"/>
      <w:r w:rsidRPr="00372AD9">
        <w:rPr>
          <w:rFonts w:ascii="Times New Roman" w:hAnsi="Times New Roman" w:cs="Times New Roman"/>
        </w:rPr>
        <w:t>idea</w:t>
      </w:r>
      <w:r w:rsidRPr="00372AD9">
        <w:rPr>
          <w:rFonts w:ascii="Times New Roman" w:hAnsi="Times New Roman" w:cs="Times New Roman"/>
          <w:noProof/>
        </w:rPr>
        <w:t>l</w:t>
      </w:r>
      <w:r w:rsidRPr="00372AD9">
        <w:rPr>
          <w:rFonts w:ascii="Times New Roman" w:hAnsi="Times New Roman" w:cs="Times New Roman"/>
        </w:rPr>
        <w:t>ity</w:t>
      </w:r>
      <w:proofErr w:type="spellEnd"/>
      <w:r w:rsidRPr="00372AD9">
        <w:rPr>
          <w:rFonts w:ascii="Times New Roman" w:hAnsi="Times New Roman" w:cs="Times New Roman"/>
        </w:rPr>
        <w:t xml:space="preserve"> should be approac</w:t>
      </w:r>
      <w:r w:rsidRPr="00372AD9">
        <w:rPr>
          <w:rFonts w:ascii="Times New Roman" w:hAnsi="Times New Roman" w:cs="Times New Roman"/>
          <w:noProof/>
        </w:rPr>
        <w:t>hed</w:t>
      </w:r>
      <w:r w:rsidRPr="00372AD9">
        <w:rPr>
          <w:rFonts w:ascii="Times New Roman" w:hAnsi="Times New Roman" w:cs="Times New Roman"/>
        </w:rPr>
        <w:t xml:space="preserve"> and thus required some modification. Additionally, the approximation of ideal mixing between non-ideal pure gases (Lewis</w:t>
      </w:r>
      <w:r w:rsidR="00B25E21">
        <w:rPr>
          <w:rFonts w:ascii="Times New Roman" w:hAnsi="Times New Roman" w:cs="Times New Roman"/>
        </w:rPr>
        <w:t>-</w:t>
      </w:r>
      <w:r w:rsidRPr="00372AD9">
        <w:rPr>
          <w:rFonts w:ascii="Times New Roman" w:hAnsi="Times New Roman" w:cs="Times New Roman"/>
        </w:rPr>
        <w:t>Randall rule), although widely used must introduce inaccuracies</w:t>
      </w:r>
      <w:r w:rsidR="00BE2F06">
        <w:rPr>
          <w:rFonts w:ascii="Times New Roman" w:hAnsi="Times New Roman" w:cs="Times New Roman"/>
        </w:rPr>
        <w:t xml:space="preserve"> </w:t>
      </w:r>
      <w:r w:rsidR="00BE2F06">
        <w:rPr>
          <w:rFonts w:ascii="Times New Roman" w:hAnsi="Times New Roman" w:cs="Times New Roman"/>
        </w:rPr>
        <w:fldChar w:fldCharType="begin" w:fldLock="1"/>
      </w:r>
      <w:r w:rsidR="00BE2F06">
        <w:rPr>
          <w:rFonts w:ascii="Times New Roman" w:hAnsi="Times New Roman" w:cs="Times New Roman"/>
        </w:rPr>
        <w:instrText>ADDIN CSL_CITATION {"citationItems":[{"id":"ITEM-1","itemData":{"DOI":"10.1007/978-94-010-1252-2_9","author":[{"dropping-particle":"","family":"Holloway","given":"John R.","non-dropping-particle":"","parse-names":false,"suffix":""}],"container-title":"Thermodynamics in Geology","id":"ITEM-1","issued":{"date-parts":[["1977"]]},"page":"161-181","publisher":"Springer Netherlands","publisher-place":"Dordrecht","title":"Fugacity and Activity of Molecular Species in Supercritical Fluids","type":"chapter"},"uris":["http://www.mendeley.com/documents/?uuid=a353441d-f5d5-3cb5-94ff-757f0c0ad329"]}],"mendeley":{"formattedCitation":"(Holloway, 1977)","manualFormatting":"(e.g., Holloway, 1977)","plainTextFormattedCitation":"(Holloway, 1977)","previouslyFormattedCitation":"(Holloway, 1977)"},"properties":{"noteIndex":0},"schema":"https://github.com/citation-style-language/schema/raw/master/csl-citation.json"}</w:instrText>
      </w:r>
      <w:r w:rsidR="00BE2F06">
        <w:rPr>
          <w:rFonts w:ascii="Times New Roman" w:hAnsi="Times New Roman" w:cs="Times New Roman"/>
        </w:rPr>
        <w:fldChar w:fldCharType="separate"/>
      </w:r>
      <w:r w:rsidR="00BE2F06" w:rsidRPr="00BE2F06">
        <w:rPr>
          <w:rFonts w:ascii="Times New Roman" w:hAnsi="Times New Roman" w:cs="Times New Roman"/>
          <w:noProof/>
        </w:rPr>
        <w:t>(</w:t>
      </w:r>
      <w:r w:rsidR="00BE2F06">
        <w:rPr>
          <w:rFonts w:ascii="Times New Roman" w:hAnsi="Times New Roman" w:cs="Times New Roman"/>
          <w:noProof/>
        </w:rPr>
        <w:t xml:space="preserve">e.g., </w:t>
      </w:r>
      <w:r w:rsidR="00BE2F06" w:rsidRPr="00BE2F06">
        <w:rPr>
          <w:rFonts w:ascii="Times New Roman" w:hAnsi="Times New Roman" w:cs="Times New Roman"/>
          <w:noProof/>
        </w:rPr>
        <w:t>Holloway, 1977)</w:t>
      </w:r>
      <w:r w:rsidR="00BE2F06">
        <w:rPr>
          <w:rFonts w:ascii="Times New Roman" w:hAnsi="Times New Roman" w:cs="Times New Roman"/>
        </w:rPr>
        <w:fldChar w:fldCharType="end"/>
      </w:r>
      <w:r w:rsidR="00E57851" w:rsidRPr="00E57851">
        <w:rPr>
          <w:rFonts w:ascii="Times New Roman" w:hAnsi="Times New Roman" w:cs="Times New Roman"/>
        </w:rPr>
        <w:t xml:space="preserve">. However, at the </w:t>
      </w:r>
      <w:r w:rsidR="00E57851" w:rsidRPr="00E57851">
        <w:rPr>
          <w:rFonts w:ascii="Times New Roman" w:hAnsi="Times New Roman" w:cs="Times New Roman"/>
          <w:i/>
          <w:iCs/>
        </w:rPr>
        <w:t>P</w:t>
      </w:r>
      <w:r w:rsidR="00E57851" w:rsidRPr="00E57851">
        <w:rPr>
          <w:rFonts w:ascii="Times New Roman" w:hAnsi="Times New Roman" w:cs="Times New Roman"/>
        </w:rPr>
        <w:t xml:space="preserve"> and </w:t>
      </w:r>
      <w:r w:rsidR="00E57851" w:rsidRPr="00E57851">
        <w:rPr>
          <w:rFonts w:ascii="Times New Roman" w:hAnsi="Times New Roman" w:cs="Times New Roman"/>
          <w:i/>
          <w:iCs/>
        </w:rPr>
        <w:t>T</w:t>
      </w:r>
      <w:r w:rsidR="00E57851" w:rsidRPr="00E57851">
        <w:rPr>
          <w:rFonts w:ascii="Times New Roman" w:hAnsi="Times New Roman" w:cs="Times New Roman"/>
        </w:rPr>
        <w:t xml:space="preserve"> for crustal magmatic systems </w:t>
      </w:r>
      <w:r w:rsidR="00B537BA">
        <w:rPr>
          <w:rFonts w:ascii="Times New Roman" w:hAnsi="Times New Roman" w:cs="Times New Roman"/>
        </w:rPr>
        <w:t>it appears to be</w:t>
      </w:r>
      <w:r w:rsidR="00E57851" w:rsidRPr="00E57851">
        <w:rPr>
          <w:rFonts w:ascii="Times New Roman" w:hAnsi="Times New Roman" w:cs="Times New Roman"/>
        </w:rPr>
        <w:t xml:space="preserve"> appropriate </w:t>
      </w:r>
      <w:r w:rsidR="00BE2F06">
        <w:rPr>
          <w:rFonts w:ascii="Times New Roman" w:hAnsi="Times New Roman" w:cs="Times New Roman"/>
        </w:rPr>
        <w:fldChar w:fldCharType="begin" w:fldLock="1"/>
      </w:r>
      <w:r w:rsidR="008C4D3C">
        <w:rPr>
          <w:rFonts w:ascii="Times New Roman" w:hAnsi="Times New Roman" w:cs="Times New Roman"/>
        </w:rPr>
        <w:instrText>ADDIN CSL_CITATION {"citationItems":[{"id":"ITEM-1","itemData":{"DOI":"10.2475/AJS.277.8.1013","ISSN":"0002-9599","abstract":"very mathematical; max. X(H2O) in equil. with graphite","author":[{"dropping-particle":"","family":"Ohmoto","given":"H.","non-dropping-particle":"","parse-names":false,"suffix":""},{"dropping-particle":"","family":"Kerrick","given":"D. M.","non-dropping-particle":"","parse-names":false,"suffix":""}],"container-title":"American Journal of Science","id":"ITEM-1","issue":"8","issued":{"date-parts":[["1977","10","1"]]},"page":"1013-1044","publisher":"American Journal of Science","title":"Devolatilization equilibria in graphitic systems","type":"article-journal","volume":"277"},"uris":["http://www.mendeley.com/documents/?uuid=27906af5-49a4-3bd3-b34e-e0e09aa8b1e6"]},{"id":"ITEM-2","itemData":{"DOI":"10.1515/9781501508950-011/MACHINEREADABLECITATION/RIS","ISBN":"9781501508950","author":[{"dropping-particle":"","family":"Ferry","given":"John M.","non-dropping-particle":"","parse-names":false,"suffix":""},{"dropping-particle":"","family":"Baumgartner","given":"Lukas","non-dropping-particle":"","parse-names":false,"suffix":""}],"container-title":"Thermodynamic Modeling of Geologic Materials: Minerals, Fluids, and Melts","id":"ITEM-2","issued":{"date-parts":[["2019","2","26"]]},"page":"323-366","publisher":"De Gruyter Mouton","title":"Thermodynamic models of molecular fluids at the elevated pressures and temperatures of crustal metamorphism","type":"article-journal","volume":"17"},"uris":["http://www.mendeley.com/documents/?uuid=518525fb-2ac8-3d14-9dd1-f6677a192aa4"]},{"id":"ITEM-3","itemData":{"author":[{"dropping-particle":"","family":"Abramov","given":"S.S.","non-dropping-particle":"","parse-names":false,"suffix":""}],"container-title":"Geochemistry International","id":"ITEM-3","issue":"5","issued":{"date-parts":[["2000"]]},"page":"464-479","title":"Thermodynamic Modeling of Biotite Stability in Assemblage with Feldspar, Quartz, Fayalite, Pyrrhotite, and Ilmenite in a C–O–H–S–F Fluid at 427–1027°C and 2 kbar","type":"article-journal","volume":"38"},"uris":["http://www.mendeley.com/documents/?uuid=38986cf6-e9e8-42b6-b3de-c97ef6c8f767"]}],"mendeley":{"formattedCitation":"(Abramov, 2000; Ferry and Baumgartner, 2019; Ohmoto and Kerrick, 1977)","manualFormatting":"(e.g., Abramov, 2000; Ferry and Baumgartner, 2019; Ohmoto and Kerrick, 1977)","plainTextFormattedCitation":"(Abramov, 2000; Ferry and Baumgartner, 2019; Ohmoto and Kerrick, 1977)","previouslyFormattedCitation":"(Abramov, 2000; Ferry and Baumgartner, 2019; Ohmoto and Kerrick, 1977)"},"properties":{"noteIndex":0},"schema":"https://github.com/citation-style-language/schema/raw/master/csl-citation.json"}</w:instrText>
      </w:r>
      <w:r w:rsidR="00BE2F06">
        <w:rPr>
          <w:rFonts w:ascii="Times New Roman" w:hAnsi="Times New Roman" w:cs="Times New Roman"/>
        </w:rPr>
        <w:fldChar w:fldCharType="separate"/>
      </w:r>
      <w:r w:rsidR="008C4D3C" w:rsidRPr="008C4D3C">
        <w:rPr>
          <w:rFonts w:ascii="Times New Roman" w:hAnsi="Times New Roman" w:cs="Times New Roman"/>
          <w:noProof/>
        </w:rPr>
        <w:t>(</w:t>
      </w:r>
      <w:r w:rsidR="008C4D3C">
        <w:rPr>
          <w:rFonts w:ascii="Times New Roman" w:hAnsi="Times New Roman" w:cs="Times New Roman"/>
          <w:noProof/>
        </w:rPr>
        <w:t xml:space="preserve">e.g., </w:t>
      </w:r>
      <w:r w:rsidR="008C4D3C" w:rsidRPr="008C4D3C">
        <w:rPr>
          <w:rFonts w:ascii="Times New Roman" w:hAnsi="Times New Roman" w:cs="Times New Roman"/>
          <w:noProof/>
        </w:rPr>
        <w:t>Abramov, 2000; Ferry and Baumgartner, 2019; Ohmoto and Kerrick, 1977)</w:t>
      </w:r>
      <w:r w:rsidR="00BE2F06">
        <w:rPr>
          <w:rFonts w:ascii="Times New Roman" w:hAnsi="Times New Roman" w:cs="Times New Roman"/>
        </w:rPr>
        <w:fldChar w:fldCharType="end"/>
      </w:r>
      <w:r w:rsidR="00E57851" w:rsidRPr="00E57851">
        <w:rPr>
          <w:rFonts w:ascii="Times New Roman" w:hAnsi="Times New Roman" w:cs="Times New Roman"/>
        </w:rPr>
        <w:t>.</w:t>
      </w:r>
      <w:r w:rsidR="00E57851">
        <w:t xml:space="preserve"> </w:t>
      </w:r>
      <w:r w:rsidRPr="00372AD9">
        <w:rPr>
          <w:rFonts w:ascii="Times New Roman" w:hAnsi="Times New Roman" w:cs="Times New Roman"/>
        </w:rPr>
        <w:t xml:space="preserve">Although changes in these parameters could alter the details of some of the behaviour observed (especially since some of the trends we observed in our calculations reflect the </w:t>
      </w:r>
      <w:r w:rsidRPr="00372AD9">
        <w:rPr>
          <w:rFonts w:ascii="Times New Roman" w:hAnsi="Times New Roman" w:cs="Times New Roman"/>
          <w:i/>
          <w:iCs/>
        </w:rPr>
        <w:t>P</w:t>
      </w:r>
      <w:r w:rsidRPr="00372AD9">
        <w:rPr>
          <w:rFonts w:ascii="Times New Roman" w:hAnsi="Times New Roman" w:cs="Times New Roman"/>
        </w:rPr>
        <w:t xml:space="preserve">-dependence of </w:t>
      </w:r>
      <w:r w:rsidRPr="00372AD9">
        <w:rPr>
          <w:rFonts w:ascii="Times New Roman" w:hAnsi="Times New Roman" w:cs="Times New Roman"/>
        </w:rPr>
        <w:sym w:font="Symbol" w:char="F067"/>
      </w:r>
      <w:r w:rsidRPr="00372AD9">
        <w:rPr>
          <w:rFonts w:ascii="Times New Roman" w:hAnsi="Times New Roman" w:cs="Times New Roman"/>
          <w:vertAlign w:val="subscript"/>
        </w:rPr>
        <w:t>H2S</w:t>
      </w:r>
      <w:r w:rsidRPr="00372AD9">
        <w:rPr>
          <w:rFonts w:ascii="Times New Roman" w:hAnsi="Times New Roman" w:cs="Times New Roman"/>
        </w:rPr>
        <w:t xml:space="preserve"> and </w:t>
      </w:r>
      <w:r w:rsidRPr="00372AD9">
        <w:rPr>
          <w:rFonts w:ascii="Times New Roman" w:hAnsi="Times New Roman" w:cs="Times New Roman"/>
        </w:rPr>
        <w:sym w:font="Symbol" w:char="F067"/>
      </w:r>
      <w:r w:rsidRPr="00372AD9">
        <w:rPr>
          <w:rFonts w:ascii="Times New Roman" w:hAnsi="Times New Roman" w:cs="Times New Roman"/>
          <w:vertAlign w:val="subscript"/>
        </w:rPr>
        <w:t>SO2</w:t>
      </w:r>
      <w:r w:rsidRPr="00372AD9">
        <w:rPr>
          <w:rFonts w:ascii="Times New Roman" w:hAnsi="Times New Roman" w:cs="Times New Roman"/>
        </w:rPr>
        <w:t>), it is unlikely that they would fundamentally affect the results.</w:t>
      </w:r>
    </w:p>
    <w:p w14:paraId="151A4D0D" w14:textId="77777777" w:rsidR="00B25E21" w:rsidRDefault="00B25E21" w:rsidP="00372AD9">
      <w:pPr>
        <w:jc w:val="both"/>
        <w:rPr>
          <w:rFonts w:ascii="Times New Roman" w:hAnsi="Times New Roman" w:cs="Times New Roman"/>
        </w:rPr>
      </w:pPr>
    </w:p>
    <w:p w14:paraId="6C33AD74" w14:textId="77777777" w:rsidR="00AC4246" w:rsidRPr="00CC594A" w:rsidRDefault="00AC4246" w:rsidP="00AC4246">
      <w:pPr>
        <w:pStyle w:val="Heading2"/>
      </w:pPr>
      <w:r w:rsidRPr="00CC594A">
        <w:t xml:space="preserve">Effect of </w:t>
      </w:r>
      <w:r>
        <w:t>uncertainty</w:t>
      </w:r>
      <w:r w:rsidRPr="00CC594A">
        <w:t xml:space="preserve"> in model parameters</w:t>
      </w:r>
    </w:p>
    <w:p w14:paraId="15923AF9" w14:textId="07E1BE5B" w:rsidR="00AC4246" w:rsidRDefault="00AC4246" w:rsidP="00147AF9">
      <w:pPr>
        <w:ind w:firstLine="720"/>
        <w:jc w:val="both"/>
        <w:rPr>
          <w:rFonts w:ascii="Times New Roman" w:hAnsi="Times New Roman" w:cs="Times New Roman"/>
        </w:rPr>
      </w:pPr>
      <w:r>
        <w:rPr>
          <w:rFonts w:ascii="Times New Roman" w:hAnsi="Times New Roman" w:cs="Times New Roman"/>
        </w:rPr>
        <w:t xml:space="preserve">Each parameter in the model will have an associated error with it, which will result in an </w:t>
      </w:r>
      <w:r w:rsidR="00B537BA">
        <w:rPr>
          <w:rFonts w:ascii="Times New Roman" w:hAnsi="Times New Roman" w:cs="Times New Roman"/>
        </w:rPr>
        <w:t>uncertainty</w:t>
      </w:r>
      <w:r>
        <w:rPr>
          <w:rFonts w:ascii="Times New Roman" w:hAnsi="Times New Roman" w:cs="Times New Roman"/>
        </w:rPr>
        <w:t xml:space="preserve"> on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sidRPr="00DE0684">
        <w:rPr>
          <w:rFonts w:ascii="Times New Roman" w:hAnsi="Times New Roman" w:cs="Times New Roman"/>
        </w:rPr>
        <w:t xml:space="preserve"> and</w:t>
      </w:r>
      <w:r>
        <w:rPr>
          <w:rFonts w:ascii="Times New Roman" w:hAnsi="Times New Roman" w:cs="Times New Roman"/>
        </w:rPr>
        <w:t xml:space="preserve"> </w:t>
      </w:r>
      <w:proofErr w:type="spellStart"/>
      <w:r w:rsidRPr="00A47E35">
        <w:rPr>
          <w:rFonts w:ascii="Times New Roman" w:hAnsi="Times New Roman" w:cs="Times New Roman"/>
        </w:rPr>
        <w:t>Δ</w:t>
      </w:r>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We investigate the influence of errors in the solubilities and vapor fugacity coefficients by varying these parameters for all species by ±10% </w:t>
      </w:r>
      <w:r w:rsidR="00F93C27">
        <w:rPr>
          <w:rFonts w:ascii="Times New Roman" w:hAnsi="Times New Roman" w:cs="Times New Roman"/>
        </w:rPr>
        <w:t xml:space="preserve">in the same calculation </w:t>
      </w:r>
      <w:r>
        <w:rPr>
          <w:rFonts w:ascii="Times New Roman" w:hAnsi="Times New Roman" w:cs="Times New Roman"/>
        </w:rPr>
        <w:t xml:space="preserve">for case 3 (Hawaiian tholeiite, 1200 </w:t>
      </w:r>
      <w:r w:rsidRPr="004168B8">
        <w:rPr>
          <w:rFonts w:ascii="Times New Roman" w:hAnsi="Times New Roman" w:cs="Times New Roman"/>
        </w:rPr>
        <w:t>°</w:t>
      </w:r>
      <w:r>
        <w:rPr>
          <w:rFonts w:ascii="Times New Roman" w:hAnsi="Times New Roman" w:cs="Times New Roman"/>
        </w:rPr>
        <w:t xml:space="preserve">C, </w:t>
      </w:r>
      <w:r w:rsidRPr="002358AE">
        <w:rPr>
          <w:rFonts w:ascii="Times New Roman" w:hAnsi="Times New Roman" w:cs="Times New Roman"/>
        </w:rPr>
        <w:t xml:space="preserve">3 </w:t>
      </w:r>
      <w:proofErr w:type="spellStart"/>
      <w:r w:rsidRPr="002358AE">
        <w:rPr>
          <w:rFonts w:ascii="Times New Roman" w:hAnsi="Times New Roman" w:cs="Times New Roman"/>
        </w:rPr>
        <w:t>wt</w:t>
      </w:r>
      <w:proofErr w:type="spellEnd"/>
      <w:r w:rsidRPr="002358AE">
        <w:rPr>
          <w:rFonts w:ascii="Times New Roman" w:hAnsi="Times New Roman" w:cs="Times New Roman"/>
        </w:rPr>
        <w:t>% H</w:t>
      </w:r>
      <w:r w:rsidRPr="0010091A">
        <w:rPr>
          <w:rFonts w:ascii="Times New Roman" w:hAnsi="Times New Roman" w:cs="Times New Roman"/>
          <w:vertAlign w:val="subscript"/>
        </w:rPr>
        <w:t>2</w:t>
      </w:r>
      <w:r w:rsidRPr="002358AE">
        <w:rPr>
          <w:rFonts w:ascii="Times New Roman" w:hAnsi="Times New Roman" w:cs="Times New Roman"/>
        </w:rPr>
        <w:t>O-eq, 1000 ppm CO</w:t>
      </w:r>
      <w:r w:rsidRPr="0010091A">
        <w:rPr>
          <w:rFonts w:ascii="Times New Roman" w:hAnsi="Times New Roman" w:cs="Times New Roman"/>
          <w:vertAlign w:val="subscript"/>
        </w:rPr>
        <w:t>2</w:t>
      </w:r>
      <w:r w:rsidRPr="002358AE">
        <w:rPr>
          <w:rFonts w:ascii="Times New Roman" w:hAnsi="Times New Roman" w:cs="Times New Roman"/>
        </w:rPr>
        <w:t>-eq, and 1000 ppm S-</w:t>
      </w:r>
      <w:proofErr w:type="spellStart"/>
      <w:r w:rsidRPr="002358AE">
        <w:rPr>
          <w:rFonts w:ascii="Times New Roman" w:hAnsi="Times New Roman" w:cs="Times New Roman"/>
        </w:rPr>
        <w:t>eq</w:t>
      </w:r>
      <w:proofErr w:type="spellEnd"/>
      <w:r>
        <w:rPr>
          <w:rFonts w:ascii="Times New Roman" w:hAnsi="Times New Roman" w:cs="Times New Roman"/>
        </w:rPr>
        <w:t xml:space="preserve">), which is </w:t>
      </w:r>
      <w:r w:rsidR="00B537BA">
        <w:rPr>
          <w:rFonts w:ascii="Times New Roman" w:hAnsi="Times New Roman" w:cs="Times New Roman"/>
        </w:rPr>
        <w:t>illustrated</w:t>
      </w:r>
      <w:r>
        <w:rPr>
          <w:rFonts w:ascii="Times New Roman" w:hAnsi="Times New Roman" w:cs="Times New Roman"/>
        </w:rPr>
        <w:t xml:space="preserve"> in </w:t>
      </w:r>
      <w:r w:rsidRPr="00305E38">
        <w:rPr>
          <w:rFonts w:ascii="Times New Roman" w:hAnsi="Times New Roman" w:cs="Times New Roman"/>
        </w:rPr>
        <w:fldChar w:fldCharType="begin"/>
      </w:r>
      <w:r w:rsidRPr="007176C8">
        <w:rPr>
          <w:rFonts w:ascii="Times New Roman" w:hAnsi="Times New Roman" w:cs="Times New Roman"/>
        </w:rPr>
        <w:instrText xml:space="preserve"> REF _Ref121657047 \h  \* MERGEFORMAT </w:instrText>
      </w:r>
      <w:r w:rsidRPr="00305E38">
        <w:rPr>
          <w:rFonts w:ascii="Times New Roman" w:hAnsi="Times New Roman" w:cs="Times New Roman"/>
        </w:rPr>
      </w:r>
      <w:r w:rsidRPr="00305E38">
        <w:rPr>
          <w:rFonts w:ascii="Times New Roman" w:hAnsi="Times New Roman" w:cs="Times New Roman"/>
        </w:rPr>
        <w:fldChar w:fldCharType="separate"/>
      </w:r>
      <w:r w:rsidR="00F93C27" w:rsidRPr="00147AF9">
        <w:rPr>
          <w:rFonts w:ascii="Times New Roman" w:hAnsi="Times New Roman" w:cs="Times New Roman"/>
          <w:color w:val="000000" w:themeColor="text1"/>
        </w:rPr>
        <w:t>Figure S16</w:t>
      </w:r>
      <w:r w:rsidRPr="00305E38">
        <w:rPr>
          <w:rFonts w:ascii="Times New Roman" w:hAnsi="Times New Roman" w:cs="Times New Roman"/>
        </w:rPr>
        <w:fldChar w:fldCharType="end"/>
      </w:r>
      <w:r>
        <w:rPr>
          <w:rFonts w:ascii="Times New Roman" w:hAnsi="Times New Roman" w:cs="Times New Roman"/>
        </w:rPr>
        <w:t xml:space="preserve">. </w:t>
      </w:r>
      <w:r w:rsidR="00B537BA">
        <w:rPr>
          <w:rFonts w:ascii="Times New Roman" w:hAnsi="Times New Roman" w:cs="Times New Roman"/>
        </w:rPr>
        <w:t>Uncertainties</w:t>
      </w:r>
      <w:r>
        <w:rPr>
          <w:rFonts w:ascii="Times New Roman" w:hAnsi="Times New Roman" w:cs="Times New Roman"/>
        </w:rPr>
        <w:t xml:space="preserve"> in solubilities and vapor fugacity coefficients have large effect</w:t>
      </w:r>
      <w:r w:rsidR="00B537BA">
        <w:rPr>
          <w:rFonts w:ascii="Times New Roman" w:hAnsi="Times New Roman" w:cs="Times New Roman"/>
        </w:rPr>
        <w:t>s</w:t>
      </w:r>
      <w:r>
        <w:rPr>
          <w:rFonts w:ascii="Times New Roman" w:hAnsi="Times New Roman" w:cs="Times New Roman"/>
        </w:rPr>
        <w:t xml:space="preserve"> on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w:t>
      </w:r>
      <w:r w:rsidRPr="0010091A">
        <w:rPr>
          <w:rFonts w:ascii="Times New Roman" w:hAnsi="Times New Roman" w:cs="Times New Roman"/>
        </w:rPr>
        <w:fldChar w:fldCharType="begin"/>
      </w:r>
      <w:r w:rsidRPr="0010091A">
        <w:rPr>
          <w:rFonts w:ascii="Times New Roman" w:hAnsi="Times New Roman" w:cs="Times New Roman"/>
        </w:rPr>
        <w:instrText xml:space="preserve"> REF _Ref121657047 \h  \* MERGEFORMAT </w:instrText>
      </w:r>
      <w:r w:rsidRPr="0010091A">
        <w:rPr>
          <w:rFonts w:ascii="Times New Roman" w:hAnsi="Times New Roman" w:cs="Times New Roman"/>
        </w:rPr>
      </w:r>
      <w:r w:rsidRPr="0010091A">
        <w:rPr>
          <w:rFonts w:ascii="Times New Roman" w:hAnsi="Times New Roman" w:cs="Times New Roman"/>
        </w:rPr>
        <w:fldChar w:fldCharType="separate"/>
      </w:r>
      <w:r w:rsidR="00F93C27" w:rsidRPr="00147AF9">
        <w:rPr>
          <w:rFonts w:ascii="Times New Roman" w:hAnsi="Times New Roman" w:cs="Times New Roman"/>
          <w:color w:val="000000" w:themeColor="text1"/>
        </w:rPr>
        <w:t>Figure S16</w:t>
      </w:r>
      <w:r w:rsidRPr="0010091A">
        <w:rPr>
          <w:rFonts w:ascii="Times New Roman" w:hAnsi="Times New Roman" w:cs="Times New Roman"/>
        </w:rPr>
        <w:fldChar w:fldCharType="end"/>
      </w:r>
      <w:r>
        <w:rPr>
          <w:rFonts w:ascii="Times New Roman" w:hAnsi="Times New Roman" w:cs="Times New Roman"/>
        </w:rPr>
        <w:t>a) but small effect</w:t>
      </w:r>
      <w:r w:rsidR="00B537BA">
        <w:rPr>
          <w:rFonts w:ascii="Times New Roman" w:hAnsi="Times New Roman" w:cs="Times New Roman"/>
        </w:rPr>
        <w:t>s</w:t>
      </w:r>
      <w:r>
        <w:rPr>
          <w:rFonts w:ascii="Times New Roman" w:hAnsi="Times New Roman" w:cs="Times New Roman"/>
        </w:rPr>
        <w:t xml:space="preserve"> on </w:t>
      </w:r>
      <w:proofErr w:type="spellStart"/>
      <w:r w:rsidRPr="00A47E35">
        <w:rPr>
          <w:rFonts w:ascii="Times New Roman" w:hAnsi="Times New Roman" w:cs="Times New Roman"/>
        </w:rPr>
        <w:t>Δ</w:t>
      </w:r>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w:t>
      </w:r>
      <w:r w:rsidR="00B537BA" w:rsidRPr="0010091A">
        <w:rPr>
          <w:rFonts w:ascii="Times New Roman" w:hAnsi="Times New Roman" w:cs="Times New Roman"/>
        </w:rPr>
        <w:fldChar w:fldCharType="begin"/>
      </w:r>
      <w:r w:rsidR="00B537BA" w:rsidRPr="0010091A">
        <w:rPr>
          <w:rFonts w:ascii="Times New Roman" w:hAnsi="Times New Roman" w:cs="Times New Roman"/>
        </w:rPr>
        <w:instrText xml:space="preserve"> REF _Ref121657047 \h  \* MERGEFORMAT </w:instrText>
      </w:r>
      <w:r w:rsidR="00B537BA" w:rsidRPr="0010091A">
        <w:rPr>
          <w:rFonts w:ascii="Times New Roman" w:hAnsi="Times New Roman" w:cs="Times New Roman"/>
        </w:rPr>
      </w:r>
      <w:r w:rsidR="00B537BA" w:rsidRPr="0010091A">
        <w:rPr>
          <w:rFonts w:ascii="Times New Roman" w:hAnsi="Times New Roman" w:cs="Times New Roman"/>
        </w:rPr>
        <w:fldChar w:fldCharType="separate"/>
      </w:r>
      <w:r w:rsidR="00F93C27" w:rsidRPr="00147AF9">
        <w:rPr>
          <w:rFonts w:ascii="Times New Roman" w:hAnsi="Times New Roman" w:cs="Times New Roman"/>
          <w:color w:val="000000" w:themeColor="text1"/>
        </w:rPr>
        <w:t>Figure S16</w:t>
      </w:r>
      <w:r w:rsidR="00B537BA" w:rsidRPr="0010091A">
        <w:rPr>
          <w:rFonts w:ascii="Times New Roman" w:hAnsi="Times New Roman" w:cs="Times New Roman"/>
        </w:rPr>
        <w:fldChar w:fldCharType="end"/>
      </w:r>
      <w:r>
        <w:rPr>
          <w:rFonts w:ascii="Times New Roman" w:hAnsi="Times New Roman" w:cs="Times New Roman"/>
        </w:rPr>
        <w:t xml:space="preserve">b and c). Increasing both solubilities and vapor fugacity coefficients causes a decrease in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because species are </w:t>
      </w:r>
      <w:r w:rsidR="00B25E21">
        <w:rPr>
          <w:rFonts w:ascii="Times New Roman" w:hAnsi="Times New Roman" w:cs="Times New Roman"/>
        </w:rPr>
        <w:t>both</w:t>
      </w:r>
      <w:r>
        <w:rPr>
          <w:rFonts w:ascii="Times New Roman" w:hAnsi="Times New Roman" w:cs="Times New Roman"/>
        </w:rPr>
        <w:t xml:space="preserve"> more soluble in the melt and more compressible in the vapor phase (</w:t>
      </w:r>
      <w:r w:rsidR="00B537BA" w:rsidRPr="0010091A">
        <w:rPr>
          <w:rFonts w:ascii="Times New Roman" w:hAnsi="Times New Roman" w:cs="Times New Roman"/>
        </w:rPr>
        <w:fldChar w:fldCharType="begin"/>
      </w:r>
      <w:r w:rsidR="00B537BA" w:rsidRPr="0010091A">
        <w:rPr>
          <w:rFonts w:ascii="Times New Roman" w:hAnsi="Times New Roman" w:cs="Times New Roman"/>
        </w:rPr>
        <w:instrText xml:space="preserve"> REF _Ref121657047 \h  \* MERGEFORMAT </w:instrText>
      </w:r>
      <w:r w:rsidR="00B537BA" w:rsidRPr="0010091A">
        <w:rPr>
          <w:rFonts w:ascii="Times New Roman" w:hAnsi="Times New Roman" w:cs="Times New Roman"/>
        </w:rPr>
      </w:r>
      <w:r w:rsidR="00B537BA" w:rsidRPr="0010091A">
        <w:rPr>
          <w:rFonts w:ascii="Times New Roman" w:hAnsi="Times New Roman" w:cs="Times New Roman"/>
        </w:rPr>
        <w:fldChar w:fldCharType="separate"/>
      </w:r>
      <w:r w:rsidR="00F93C27" w:rsidRPr="00147AF9">
        <w:rPr>
          <w:rFonts w:ascii="Times New Roman" w:hAnsi="Times New Roman" w:cs="Times New Roman"/>
          <w:color w:val="000000" w:themeColor="text1"/>
        </w:rPr>
        <w:t>Figure S16</w:t>
      </w:r>
      <w:r w:rsidR="00B537BA" w:rsidRPr="0010091A">
        <w:rPr>
          <w:rFonts w:ascii="Times New Roman" w:hAnsi="Times New Roman" w:cs="Times New Roman"/>
        </w:rPr>
        <w:fldChar w:fldCharType="end"/>
      </w:r>
      <w:r>
        <w:rPr>
          <w:rFonts w:ascii="Times New Roman" w:hAnsi="Times New Roman" w:cs="Times New Roman"/>
        </w:rPr>
        <w:t xml:space="preserve">a). A 10% error in vapor fugacity coefficients has a larger effect on </w:t>
      </w:r>
      <w:proofErr w:type="spellStart"/>
      <w:r w:rsidRPr="0010091A">
        <w:rPr>
          <w:rFonts w:ascii="Times New Roman" w:hAnsi="Times New Roman" w:cs="Times New Roman"/>
          <w:i/>
          <w:iCs/>
        </w:rPr>
        <w:t>P</w:t>
      </w:r>
      <w:r w:rsidRPr="0010091A">
        <w:rPr>
          <w:rFonts w:ascii="Times New Roman" w:hAnsi="Times New Roman" w:cs="Times New Roman"/>
          <w:i/>
          <w:iCs/>
          <w:vertAlign w:val="superscript"/>
        </w:rPr>
        <w:t>v</w:t>
      </w:r>
      <w:r w:rsidRPr="0010091A">
        <w:rPr>
          <w:rFonts w:ascii="Times New Roman" w:hAnsi="Times New Roman" w:cs="Times New Roman"/>
          <w:vertAlign w:val="subscript"/>
        </w:rPr>
        <w:t>sat</w:t>
      </w:r>
      <w:proofErr w:type="spellEnd"/>
      <w:r>
        <w:rPr>
          <w:rFonts w:ascii="Times New Roman" w:hAnsi="Times New Roman" w:cs="Times New Roman"/>
        </w:rPr>
        <w:t xml:space="preserve"> than </w:t>
      </w:r>
      <w:r>
        <w:rPr>
          <w:rFonts w:ascii="Times New Roman" w:hAnsi="Times New Roman" w:cs="Times New Roman"/>
        </w:rPr>
        <w:lastRenderedPageBreak/>
        <w:t>for solubilities (</w:t>
      </w:r>
      <w:r w:rsidRPr="0010091A">
        <w:rPr>
          <w:rFonts w:ascii="Times New Roman" w:hAnsi="Times New Roman" w:cs="Times New Roman"/>
        </w:rPr>
        <w:fldChar w:fldCharType="begin"/>
      </w:r>
      <w:r w:rsidRPr="0010091A">
        <w:rPr>
          <w:rFonts w:ascii="Times New Roman" w:hAnsi="Times New Roman" w:cs="Times New Roman"/>
        </w:rPr>
        <w:instrText xml:space="preserve"> REF _Ref121657047 \h  \* MERGEFORMAT </w:instrText>
      </w:r>
      <w:r w:rsidRPr="0010091A">
        <w:rPr>
          <w:rFonts w:ascii="Times New Roman" w:hAnsi="Times New Roman" w:cs="Times New Roman"/>
        </w:rPr>
      </w:r>
      <w:r w:rsidRPr="0010091A">
        <w:rPr>
          <w:rFonts w:ascii="Times New Roman" w:hAnsi="Times New Roman" w:cs="Times New Roman"/>
        </w:rPr>
        <w:fldChar w:fldCharType="separate"/>
      </w:r>
      <w:r w:rsidR="00F93C27" w:rsidRPr="00147AF9">
        <w:rPr>
          <w:rFonts w:ascii="Times New Roman" w:hAnsi="Times New Roman" w:cs="Times New Roman"/>
          <w:color w:val="000000" w:themeColor="text1"/>
        </w:rPr>
        <w:t>Figure S16</w:t>
      </w:r>
      <w:r w:rsidRPr="0010091A">
        <w:rPr>
          <w:rFonts w:ascii="Times New Roman" w:hAnsi="Times New Roman" w:cs="Times New Roman"/>
        </w:rPr>
        <w:fldChar w:fldCharType="end"/>
      </w:r>
      <w:r>
        <w:rPr>
          <w:rFonts w:ascii="Times New Roman" w:hAnsi="Times New Roman" w:cs="Times New Roman"/>
        </w:rPr>
        <w:t xml:space="preserve">a). </w:t>
      </w:r>
      <w:r w:rsidR="00D30E1D">
        <w:rPr>
          <w:rFonts w:ascii="Times New Roman" w:hAnsi="Times New Roman" w:cs="Times New Roman"/>
        </w:rPr>
        <w:t>However</w:t>
      </w:r>
      <w:r>
        <w:rPr>
          <w:rFonts w:ascii="Times New Roman" w:hAnsi="Times New Roman" w:cs="Times New Roman"/>
        </w:rPr>
        <w:t>,</w:t>
      </w:r>
      <w:r w:rsidR="00D30E1D">
        <w:rPr>
          <w:rFonts w:ascii="Times New Roman" w:hAnsi="Times New Roman" w:cs="Times New Roman"/>
        </w:rPr>
        <w:t xml:space="preserve"> despite the potentially large effects of these uncertainties on absolute values of </w:t>
      </w:r>
      <w:proofErr w:type="spellStart"/>
      <w:r w:rsidR="00D30E1D" w:rsidRPr="0010091A">
        <w:rPr>
          <w:rFonts w:ascii="Times New Roman" w:hAnsi="Times New Roman" w:cs="Times New Roman"/>
          <w:i/>
          <w:iCs/>
        </w:rPr>
        <w:t>P</w:t>
      </w:r>
      <w:r w:rsidR="00D30E1D" w:rsidRPr="0010091A">
        <w:rPr>
          <w:rFonts w:ascii="Times New Roman" w:hAnsi="Times New Roman" w:cs="Times New Roman"/>
          <w:i/>
          <w:iCs/>
          <w:vertAlign w:val="superscript"/>
        </w:rPr>
        <w:t>v</w:t>
      </w:r>
      <w:r w:rsidR="00D30E1D" w:rsidRPr="0010091A">
        <w:rPr>
          <w:rFonts w:ascii="Times New Roman" w:hAnsi="Times New Roman" w:cs="Times New Roman"/>
          <w:vertAlign w:val="subscript"/>
        </w:rPr>
        <w:t>sat</w:t>
      </w:r>
      <w:proofErr w:type="spellEnd"/>
      <w:r>
        <w:rPr>
          <w:rFonts w:ascii="Times New Roman" w:hAnsi="Times New Roman" w:cs="Times New Roman"/>
        </w:rPr>
        <w:t xml:space="preserve"> the broad trends </w:t>
      </w:r>
      <w:r w:rsidR="00D30E1D">
        <w:rPr>
          <w:rFonts w:ascii="Times New Roman" w:hAnsi="Times New Roman" w:cs="Times New Roman"/>
        </w:rPr>
        <w:t xml:space="preserve">that are our major focus </w:t>
      </w:r>
      <w:r>
        <w:rPr>
          <w:rFonts w:ascii="Times New Roman" w:hAnsi="Times New Roman" w:cs="Times New Roman"/>
        </w:rPr>
        <w:t xml:space="preserve">are </w:t>
      </w:r>
      <w:r w:rsidR="00D30E1D">
        <w:rPr>
          <w:rFonts w:ascii="Times New Roman" w:hAnsi="Times New Roman" w:cs="Times New Roman"/>
        </w:rPr>
        <w:t>robust</w:t>
      </w:r>
      <w:r>
        <w:rPr>
          <w:rFonts w:ascii="Times New Roman" w:hAnsi="Times New Roman" w:cs="Times New Roman"/>
        </w:rPr>
        <w:t>.</w:t>
      </w:r>
    </w:p>
    <w:p w14:paraId="2707D575" w14:textId="77777777" w:rsidR="00AC4246" w:rsidRPr="00DE0684" w:rsidRDefault="00AC4246" w:rsidP="00AC4246">
      <w:pPr>
        <w:jc w:val="both"/>
        <w:rPr>
          <w:rFonts w:ascii="Times New Roman" w:hAnsi="Times New Roman" w:cs="Times New Roman"/>
        </w:rPr>
      </w:pPr>
    </w:p>
    <w:p w14:paraId="25ED1170" w14:textId="77777777" w:rsidR="00AC4246" w:rsidRDefault="00AC4246" w:rsidP="00AC4246">
      <w:pPr>
        <w:keepNext/>
      </w:pPr>
      <w:r>
        <w:rPr>
          <w:noProof/>
        </w:rPr>
        <w:drawing>
          <wp:inline distT="0" distB="0" distL="0" distR="0" wp14:anchorId="41D6E1D1" wp14:editId="6BA1D44F">
            <wp:extent cx="5760000" cy="3503880"/>
            <wp:effectExtent l="0" t="0" r="0" b="1905"/>
            <wp:docPr id="19" name="Picture 19" descr="Chart, line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 histogram&#10;&#10;Description automatically generated"/>
                    <pic:cNvPicPr/>
                  </pic:nvPicPr>
                  <pic:blipFill rotWithShape="1">
                    <a:blip r:embed="rId24">
                      <a:extLst>
                        <a:ext uri="{28A0092B-C50C-407E-A947-70E740481C1C}">
                          <a14:useLocalDpi xmlns:a14="http://schemas.microsoft.com/office/drawing/2010/main" val="0"/>
                        </a:ext>
                      </a:extLst>
                    </a:blip>
                    <a:srcRect l="2212" t="12769" r="3780" b="5533"/>
                    <a:stretch/>
                  </pic:blipFill>
                  <pic:spPr bwMode="auto">
                    <a:xfrm>
                      <a:off x="0" y="0"/>
                      <a:ext cx="5760000" cy="3503880"/>
                    </a:xfrm>
                    <a:prstGeom prst="rect">
                      <a:avLst/>
                    </a:prstGeom>
                    <a:ln>
                      <a:noFill/>
                    </a:ln>
                    <a:extLst>
                      <a:ext uri="{53640926-AAD7-44D8-BBD7-CCE9431645EC}">
                        <a14:shadowObscured xmlns:a14="http://schemas.microsoft.com/office/drawing/2010/main"/>
                      </a:ext>
                    </a:extLst>
                  </pic:spPr>
                </pic:pic>
              </a:graphicData>
            </a:graphic>
          </wp:inline>
        </w:drawing>
      </w:r>
    </w:p>
    <w:p w14:paraId="12C2CB42" w14:textId="17868D4B" w:rsidR="00AC4246" w:rsidRPr="00A137C7" w:rsidRDefault="00AC4246" w:rsidP="00EF2B89">
      <w:pPr>
        <w:pStyle w:val="Caption"/>
        <w:spacing w:after="0"/>
        <w:ind w:firstLine="0"/>
        <w:rPr>
          <w:i w:val="0"/>
          <w:sz w:val="24"/>
          <w:szCs w:val="24"/>
        </w:rPr>
      </w:pPr>
      <w:bookmarkStart w:id="34" w:name="_Ref121657047"/>
      <w:r w:rsidRPr="00DE0684">
        <w:rPr>
          <w:color w:val="000000" w:themeColor="text1"/>
          <w:sz w:val="24"/>
          <w:szCs w:val="24"/>
        </w:rPr>
        <w:t>Figure S</w:t>
      </w:r>
      <w:r w:rsidRPr="00DE0684">
        <w:rPr>
          <w:color w:val="000000" w:themeColor="text1"/>
          <w:sz w:val="24"/>
          <w:szCs w:val="24"/>
        </w:rPr>
        <w:fldChar w:fldCharType="begin"/>
      </w:r>
      <w:r w:rsidRPr="00DE0684">
        <w:rPr>
          <w:color w:val="000000" w:themeColor="text1"/>
          <w:sz w:val="24"/>
          <w:szCs w:val="24"/>
        </w:rPr>
        <w:instrText xml:space="preserve"> SEQ Figure \* ARABIC </w:instrText>
      </w:r>
      <w:r w:rsidRPr="00DE0684">
        <w:rPr>
          <w:color w:val="000000" w:themeColor="text1"/>
          <w:sz w:val="24"/>
          <w:szCs w:val="24"/>
        </w:rPr>
        <w:fldChar w:fldCharType="separate"/>
      </w:r>
      <w:r w:rsidR="009E5695">
        <w:rPr>
          <w:noProof/>
          <w:color w:val="000000" w:themeColor="text1"/>
          <w:sz w:val="24"/>
          <w:szCs w:val="24"/>
        </w:rPr>
        <w:t>16</w:t>
      </w:r>
      <w:r w:rsidRPr="00DE0684">
        <w:rPr>
          <w:color w:val="000000" w:themeColor="text1"/>
          <w:sz w:val="24"/>
          <w:szCs w:val="24"/>
        </w:rPr>
        <w:fldChar w:fldCharType="end"/>
      </w:r>
      <w:bookmarkEnd w:id="34"/>
      <w:r w:rsidRPr="00DE0684">
        <w:rPr>
          <w:i w:val="0"/>
          <w:iCs w:val="0"/>
          <w:color w:val="000000" w:themeColor="text1"/>
          <w:sz w:val="24"/>
          <w:szCs w:val="24"/>
        </w:rPr>
        <w:t xml:space="preserve"> </w:t>
      </w:r>
      <w:r w:rsidR="00D30E1D">
        <w:rPr>
          <w:i w:val="0"/>
          <w:iCs w:val="0"/>
          <w:color w:val="000000" w:themeColor="text1"/>
          <w:sz w:val="24"/>
          <w:szCs w:val="24"/>
        </w:rPr>
        <w:t xml:space="preserve">Evaluation of the effects of uncertainties in solubility and fugacity coefficients on calculated values of </w:t>
      </w:r>
      <w:proofErr w:type="spellStart"/>
      <w:r w:rsidR="00D30E1D" w:rsidRPr="00DE0684">
        <w:rPr>
          <w:color w:val="000000" w:themeColor="text1"/>
          <w:sz w:val="24"/>
          <w:szCs w:val="24"/>
        </w:rPr>
        <w:t>P</w:t>
      </w:r>
      <w:r w:rsidR="00D30E1D" w:rsidRPr="00DE0684">
        <w:rPr>
          <w:color w:val="000000" w:themeColor="text1"/>
          <w:sz w:val="24"/>
          <w:szCs w:val="24"/>
          <w:vertAlign w:val="superscript"/>
        </w:rPr>
        <w:t>v</w:t>
      </w:r>
      <w:r w:rsidR="00D30E1D" w:rsidRPr="00DE0684">
        <w:rPr>
          <w:i w:val="0"/>
          <w:iCs w:val="0"/>
          <w:color w:val="000000" w:themeColor="text1"/>
          <w:sz w:val="24"/>
          <w:szCs w:val="24"/>
          <w:vertAlign w:val="subscript"/>
        </w:rPr>
        <w:t>sat</w:t>
      </w:r>
      <w:proofErr w:type="spellEnd"/>
      <w:r w:rsidR="00D30E1D">
        <w:rPr>
          <w:i w:val="0"/>
          <w:iCs w:val="0"/>
          <w:color w:val="000000" w:themeColor="text1"/>
          <w:sz w:val="24"/>
          <w:szCs w:val="24"/>
        </w:rPr>
        <w:t>. All curves are f</w:t>
      </w:r>
      <w:r w:rsidR="00B25E21" w:rsidRPr="00DE0684">
        <w:rPr>
          <w:i w:val="0"/>
          <w:iCs w:val="0"/>
          <w:color w:val="000000" w:themeColor="text1"/>
          <w:sz w:val="24"/>
          <w:szCs w:val="24"/>
        </w:rPr>
        <w:t xml:space="preserve">or the Hawaiian tholeiite melt containing 3 </w:t>
      </w:r>
      <w:proofErr w:type="spellStart"/>
      <w:r w:rsidR="00B25E21" w:rsidRPr="00DE0684">
        <w:rPr>
          <w:i w:val="0"/>
          <w:iCs w:val="0"/>
          <w:color w:val="000000" w:themeColor="text1"/>
          <w:sz w:val="24"/>
          <w:szCs w:val="24"/>
        </w:rPr>
        <w:t>wt</w:t>
      </w:r>
      <w:proofErr w:type="spellEnd"/>
      <w:r w:rsidR="00B25E21" w:rsidRPr="00DE0684">
        <w:rPr>
          <w:i w:val="0"/>
          <w:iCs w:val="0"/>
          <w:color w:val="000000" w:themeColor="text1"/>
          <w:sz w:val="24"/>
          <w:szCs w:val="24"/>
        </w:rPr>
        <w:t>% H</w:t>
      </w:r>
      <w:r w:rsidR="00B25E21" w:rsidRPr="00DE0684">
        <w:rPr>
          <w:i w:val="0"/>
          <w:iCs w:val="0"/>
          <w:color w:val="000000" w:themeColor="text1"/>
          <w:sz w:val="24"/>
          <w:szCs w:val="24"/>
          <w:vertAlign w:val="subscript"/>
        </w:rPr>
        <w:t>2</w:t>
      </w:r>
      <w:r w:rsidR="00B25E21" w:rsidRPr="00DE0684">
        <w:rPr>
          <w:i w:val="0"/>
          <w:iCs w:val="0"/>
          <w:color w:val="000000" w:themeColor="text1"/>
          <w:sz w:val="24"/>
          <w:szCs w:val="24"/>
        </w:rPr>
        <w:t>O-eq, 1000 ppm CO</w:t>
      </w:r>
      <w:r w:rsidR="00B25E21" w:rsidRPr="00DE0684">
        <w:rPr>
          <w:i w:val="0"/>
          <w:iCs w:val="0"/>
          <w:color w:val="000000" w:themeColor="text1"/>
          <w:sz w:val="24"/>
          <w:szCs w:val="24"/>
          <w:vertAlign w:val="subscript"/>
        </w:rPr>
        <w:t>2</w:t>
      </w:r>
      <w:r w:rsidR="00B25E21" w:rsidRPr="00DE0684">
        <w:rPr>
          <w:i w:val="0"/>
          <w:iCs w:val="0"/>
          <w:color w:val="000000" w:themeColor="text1"/>
          <w:sz w:val="24"/>
          <w:szCs w:val="24"/>
        </w:rPr>
        <w:t>-eq, and 1000 ppm S-</w:t>
      </w:r>
      <w:proofErr w:type="spellStart"/>
      <w:r w:rsidR="00B25E21" w:rsidRPr="00DE0684">
        <w:rPr>
          <w:i w:val="0"/>
          <w:iCs w:val="0"/>
          <w:color w:val="000000" w:themeColor="text1"/>
          <w:sz w:val="24"/>
          <w:szCs w:val="24"/>
        </w:rPr>
        <w:t>eq</w:t>
      </w:r>
      <w:proofErr w:type="spellEnd"/>
      <w:r w:rsidR="00B25E21" w:rsidRPr="00DE0684">
        <w:rPr>
          <w:i w:val="0"/>
          <w:iCs w:val="0"/>
          <w:color w:val="000000" w:themeColor="text1"/>
          <w:sz w:val="24"/>
          <w:szCs w:val="24"/>
        </w:rPr>
        <w:t xml:space="preserve"> at 1200 °</w:t>
      </w:r>
      <w:r w:rsidR="00B25E21" w:rsidRPr="00A137C7">
        <w:rPr>
          <w:i w:val="0"/>
          <w:iCs w:val="0"/>
          <w:color w:val="000000" w:themeColor="text1"/>
          <w:sz w:val="24"/>
          <w:szCs w:val="24"/>
        </w:rPr>
        <w:t>C for different errors</w:t>
      </w:r>
      <w:r w:rsidR="00B25E21">
        <w:rPr>
          <w:i w:val="0"/>
          <w:iCs w:val="0"/>
          <w:color w:val="000000" w:themeColor="text1"/>
          <w:sz w:val="24"/>
          <w:szCs w:val="24"/>
        </w:rPr>
        <w:t>:</w:t>
      </w:r>
      <w:r w:rsidR="00B25E21" w:rsidRPr="00DE0684">
        <w:rPr>
          <w:b/>
          <w:bCs/>
          <w:i w:val="0"/>
          <w:iCs w:val="0"/>
          <w:color w:val="000000" w:themeColor="text1"/>
          <w:sz w:val="24"/>
          <w:szCs w:val="24"/>
        </w:rPr>
        <w:t xml:space="preserve"> </w:t>
      </w:r>
      <w:r w:rsidRPr="00DE0684">
        <w:rPr>
          <w:b/>
          <w:bCs/>
          <w:i w:val="0"/>
          <w:iCs w:val="0"/>
          <w:color w:val="000000" w:themeColor="text1"/>
          <w:sz w:val="24"/>
          <w:szCs w:val="24"/>
        </w:rPr>
        <w:t>(a)</w:t>
      </w:r>
      <w:r w:rsidRPr="00DE0684">
        <w:rPr>
          <w:i w:val="0"/>
          <w:iCs w:val="0"/>
          <w:color w:val="000000" w:themeColor="text1"/>
          <w:sz w:val="24"/>
          <w:szCs w:val="24"/>
        </w:rPr>
        <w:t xml:space="preserve"> </w:t>
      </w:r>
      <w:r w:rsidR="00B25E21">
        <w:rPr>
          <w:i w:val="0"/>
          <w:iCs w:val="0"/>
          <w:color w:val="000000" w:themeColor="text1"/>
          <w:sz w:val="24"/>
          <w:szCs w:val="24"/>
        </w:rPr>
        <w:t>p</w:t>
      </w:r>
      <w:r w:rsidRPr="00DE0684">
        <w:rPr>
          <w:i w:val="0"/>
          <w:iCs w:val="0"/>
          <w:color w:val="000000" w:themeColor="text1"/>
          <w:sz w:val="24"/>
          <w:szCs w:val="24"/>
        </w:rPr>
        <w:t>ressure of vapor saturation (</w:t>
      </w:r>
      <w:proofErr w:type="spellStart"/>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xml:space="preserve">) and </w:t>
      </w:r>
      <w:r w:rsidRPr="00DE0684">
        <w:rPr>
          <w:b/>
          <w:bCs/>
          <w:i w:val="0"/>
          <w:iCs w:val="0"/>
          <w:color w:val="000000" w:themeColor="text1"/>
          <w:sz w:val="24"/>
          <w:szCs w:val="24"/>
        </w:rPr>
        <w:t>(</w:t>
      </w:r>
      <w:proofErr w:type="spellStart"/>
      <w:r w:rsidRPr="00DE0684">
        <w:rPr>
          <w:b/>
          <w:bCs/>
          <w:i w:val="0"/>
          <w:iCs w:val="0"/>
          <w:color w:val="000000" w:themeColor="text1"/>
          <w:sz w:val="24"/>
          <w:szCs w:val="24"/>
        </w:rPr>
        <w:t>b,c</w:t>
      </w:r>
      <w:proofErr w:type="spellEnd"/>
      <w:r w:rsidRPr="00DE0684">
        <w:rPr>
          <w:b/>
          <w:bCs/>
          <w:i w:val="0"/>
          <w:iCs w:val="0"/>
          <w:color w:val="000000" w:themeColor="text1"/>
          <w:sz w:val="24"/>
          <w:szCs w:val="24"/>
        </w:rPr>
        <w:t>)</w:t>
      </w:r>
      <w:r w:rsidRPr="00DE0684">
        <w:rPr>
          <w:i w:val="0"/>
          <w:iCs w:val="0"/>
          <w:color w:val="000000" w:themeColor="text1"/>
          <w:sz w:val="24"/>
          <w:szCs w:val="24"/>
        </w:rPr>
        <w:t xml:space="preserve"> difference between </w:t>
      </w:r>
      <w:proofErr w:type="spellStart"/>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xml:space="preserve"> calculated using case 1 and 3 (</w:t>
      </w:r>
      <w:proofErr w:type="spellStart"/>
      <w:r w:rsidRPr="00DE0684">
        <w:rPr>
          <w:i w:val="0"/>
          <w:iCs w:val="0"/>
          <w:color w:val="000000" w:themeColor="text1"/>
          <w:sz w:val="24"/>
          <w:szCs w:val="24"/>
        </w:rPr>
        <w:t>Δ</w:t>
      </w:r>
      <w:r w:rsidRPr="00DE0684">
        <w:rPr>
          <w:color w:val="000000" w:themeColor="text1"/>
          <w:sz w:val="24"/>
          <w:szCs w:val="24"/>
        </w:rPr>
        <w:t>P</w:t>
      </w:r>
      <w:r w:rsidRPr="00DE0684">
        <w:rPr>
          <w:color w:val="000000" w:themeColor="text1"/>
          <w:sz w:val="24"/>
          <w:szCs w:val="24"/>
          <w:vertAlign w:val="superscript"/>
        </w:rPr>
        <w:t>v</w:t>
      </w:r>
      <w:r w:rsidRPr="00DE0684">
        <w:rPr>
          <w:i w:val="0"/>
          <w:iCs w:val="0"/>
          <w:color w:val="000000" w:themeColor="text1"/>
          <w:sz w:val="24"/>
          <w:szCs w:val="24"/>
          <w:vertAlign w:val="subscript"/>
        </w:rPr>
        <w:t>sat</w:t>
      </w:r>
      <w:proofErr w:type="spellEnd"/>
      <w:r w:rsidRPr="00DE0684">
        <w:rPr>
          <w:i w:val="0"/>
          <w:iCs w:val="0"/>
          <w:color w:val="000000" w:themeColor="text1"/>
          <w:sz w:val="24"/>
          <w:szCs w:val="24"/>
        </w:rPr>
        <w:t>) against oxygen fugacity (</w:t>
      </w:r>
      <w:r w:rsidRPr="00DE0684">
        <w:rPr>
          <w:color w:val="000000" w:themeColor="text1"/>
          <w:sz w:val="24"/>
          <w:szCs w:val="24"/>
        </w:rPr>
        <w:t>f</w:t>
      </w:r>
      <w:r w:rsidRPr="00DE0684">
        <w:rPr>
          <w:i w:val="0"/>
          <w:iCs w:val="0"/>
          <w:color w:val="000000" w:themeColor="text1"/>
          <w:sz w:val="24"/>
          <w:szCs w:val="24"/>
          <w:vertAlign w:val="subscript"/>
        </w:rPr>
        <w:t>O2</w:t>
      </w:r>
      <w:r w:rsidRPr="00DE0684">
        <w:rPr>
          <w:i w:val="0"/>
          <w:iCs w:val="0"/>
          <w:color w:val="000000" w:themeColor="text1"/>
          <w:sz w:val="24"/>
          <w:szCs w:val="24"/>
        </w:rPr>
        <w:t>)</w:t>
      </w:r>
      <w:r w:rsidR="00B25E21">
        <w:rPr>
          <w:i w:val="0"/>
          <w:iCs w:val="0"/>
          <w:color w:val="000000" w:themeColor="text1"/>
          <w:sz w:val="24"/>
          <w:szCs w:val="24"/>
        </w:rPr>
        <w:t xml:space="preserve"> when changing</w:t>
      </w:r>
      <w:r w:rsidRPr="00A137C7">
        <w:rPr>
          <w:i w:val="0"/>
          <w:iCs w:val="0"/>
          <w:color w:val="000000" w:themeColor="text1"/>
          <w:sz w:val="24"/>
          <w:szCs w:val="24"/>
        </w:rPr>
        <w:t xml:space="preserve"> vapor fugacity coefficients (red, labelled </w:t>
      </w:r>
      <m:oMath>
        <m:r>
          <w:rPr>
            <w:rFonts w:ascii="Cambria Math" w:hAnsi="Cambria Math"/>
            <w:color w:val="000000" w:themeColor="text1"/>
            <w:sz w:val="24"/>
            <w:szCs w:val="24"/>
          </w:rPr>
          <m:t>γ</m:t>
        </m:r>
      </m:oMath>
      <w:r w:rsidRPr="00A137C7">
        <w:rPr>
          <w:i w:val="0"/>
          <w:iCs w:val="0"/>
          <w:color w:val="000000" w:themeColor="text1"/>
          <w:sz w:val="24"/>
          <w:szCs w:val="24"/>
        </w:rPr>
        <w:t xml:space="preserve">) and </w:t>
      </w:r>
      <w:r>
        <w:rPr>
          <w:i w:val="0"/>
          <w:iCs w:val="0"/>
          <w:color w:val="000000" w:themeColor="text1"/>
          <w:sz w:val="24"/>
          <w:szCs w:val="24"/>
        </w:rPr>
        <w:t>solubilities</w:t>
      </w:r>
      <w:r w:rsidRPr="00A137C7">
        <w:rPr>
          <w:i w:val="0"/>
          <w:iCs w:val="0"/>
          <w:color w:val="000000" w:themeColor="text1"/>
          <w:sz w:val="24"/>
          <w:szCs w:val="24"/>
        </w:rPr>
        <w:t xml:space="preserve"> (blue, labelled C) for +10% (dash, labelled 1.1) and -10% (dot, labelled 0.9)</w:t>
      </w:r>
      <w:r>
        <w:rPr>
          <w:i w:val="0"/>
          <w:iCs w:val="0"/>
          <w:color w:val="000000" w:themeColor="text1"/>
          <w:sz w:val="24"/>
          <w:szCs w:val="24"/>
        </w:rPr>
        <w:t xml:space="preserve"> for all species</w:t>
      </w:r>
      <w:r w:rsidR="00D30E1D">
        <w:rPr>
          <w:i w:val="0"/>
          <w:iCs w:val="0"/>
          <w:color w:val="000000" w:themeColor="text1"/>
          <w:sz w:val="24"/>
          <w:szCs w:val="24"/>
        </w:rPr>
        <w:t xml:space="preserve">, where </w:t>
      </w:r>
      <w:r w:rsidR="00D30E1D">
        <w:rPr>
          <w:b/>
          <w:bCs/>
          <w:i w:val="0"/>
          <w:iCs w:val="0"/>
          <w:color w:val="000000" w:themeColor="text1"/>
          <w:sz w:val="24"/>
          <w:szCs w:val="24"/>
        </w:rPr>
        <w:t>(c)</w:t>
      </w:r>
      <w:r w:rsidR="00D30E1D">
        <w:rPr>
          <w:i w:val="0"/>
          <w:iCs w:val="0"/>
          <w:color w:val="000000" w:themeColor="text1"/>
          <w:sz w:val="24"/>
          <w:szCs w:val="24"/>
        </w:rPr>
        <w:t xml:space="preserve"> is a zoom in of </w:t>
      </w:r>
      <w:r w:rsidR="00D30E1D">
        <w:rPr>
          <w:b/>
          <w:bCs/>
          <w:i w:val="0"/>
          <w:iCs w:val="0"/>
          <w:color w:val="000000" w:themeColor="text1"/>
          <w:sz w:val="24"/>
          <w:szCs w:val="24"/>
        </w:rPr>
        <w:t>(b)</w:t>
      </w:r>
      <w:r w:rsidR="00D30E1D">
        <w:rPr>
          <w:i w:val="0"/>
          <w:iCs w:val="0"/>
          <w:color w:val="000000" w:themeColor="text1"/>
          <w:sz w:val="24"/>
          <w:szCs w:val="24"/>
        </w:rPr>
        <w:t xml:space="preserve"> within the dashed box. The yellow curve is for case 3.</w:t>
      </w:r>
      <w:r w:rsidRPr="00A137C7">
        <w:rPr>
          <w:i w:val="0"/>
          <w:iCs w:val="0"/>
          <w:color w:val="000000" w:themeColor="text1"/>
          <w:sz w:val="24"/>
          <w:szCs w:val="24"/>
        </w:rPr>
        <w:t xml:space="preserve"> Details of the calculations are given in the text.</w:t>
      </w:r>
    </w:p>
    <w:p w14:paraId="55FC6716" w14:textId="77777777" w:rsidR="00AC4246" w:rsidRDefault="00AC4246" w:rsidP="00AC4246"/>
    <w:p w14:paraId="4F0B951A" w14:textId="77777777" w:rsidR="00AC4246" w:rsidRDefault="00AC4246" w:rsidP="00AC4246">
      <w:pPr>
        <w:pStyle w:val="Heading2"/>
      </w:pPr>
      <w:r>
        <w:t xml:space="preserve">Effect of errors in melt composition </w:t>
      </w:r>
    </w:p>
    <w:p w14:paraId="0A63E5AF" w14:textId="189C0ABC" w:rsidR="00AC4246" w:rsidRDefault="00AC4246" w:rsidP="00147AF9">
      <w:pPr>
        <w:ind w:firstLine="720"/>
        <w:jc w:val="both"/>
        <w:rPr>
          <w:rFonts w:ascii="Times New Roman" w:hAnsi="Times New Roman" w:cs="Times New Roman"/>
        </w:rPr>
      </w:pPr>
      <w:r>
        <w:rPr>
          <w:rFonts w:ascii="Times New Roman" w:hAnsi="Times New Roman" w:cs="Times New Roman"/>
        </w:rPr>
        <w:t xml:space="preserve">We </w:t>
      </w:r>
      <w:r w:rsidR="003C7931">
        <w:rPr>
          <w:rFonts w:ascii="Times New Roman" w:hAnsi="Times New Roman" w:cs="Times New Roman"/>
        </w:rPr>
        <w:t xml:space="preserve">have also </w:t>
      </w:r>
      <w:r>
        <w:rPr>
          <w:rFonts w:ascii="Times New Roman" w:hAnsi="Times New Roman" w:cs="Times New Roman"/>
        </w:rPr>
        <w:t>explore</w:t>
      </w:r>
      <w:r w:rsidR="00F93C27">
        <w:rPr>
          <w:rFonts w:ascii="Times New Roman" w:hAnsi="Times New Roman" w:cs="Times New Roman"/>
        </w:rPr>
        <w:t>d</w:t>
      </w:r>
      <w:r>
        <w:rPr>
          <w:rFonts w:ascii="Times New Roman" w:hAnsi="Times New Roman" w:cs="Times New Roman"/>
        </w:rPr>
        <w:t xml:space="preserve"> </w:t>
      </w:r>
      <w:r w:rsidR="003C7931">
        <w:rPr>
          <w:rFonts w:ascii="Times New Roman" w:hAnsi="Times New Roman" w:cs="Times New Roman"/>
        </w:rPr>
        <w:t xml:space="preserve">aspects of </w:t>
      </w:r>
      <w:r>
        <w:rPr>
          <w:rFonts w:ascii="Times New Roman" w:hAnsi="Times New Roman" w:cs="Times New Roman"/>
        </w:rPr>
        <w:t>the effect</w:t>
      </w:r>
      <w:r w:rsidR="003C7931">
        <w:rPr>
          <w:rFonts w:ascii="Times New Roman" w:hAnsi="Times New Roman" w:cs="Times New Roman"/>
        </w:rPr>
        <w:t>s</w:t>
      </w:r>
      <w:r>
        <w:rPr>
          <w:rFonts w:ascii="Times New Roman" w:hAnsi="Times New Roman" w:cs="Times New Roman"/>
        </w:rPr>
        <w:t xml:space="preserve"> of analytical uncertainties in melt composition on calculated </w:t>
      </w:r>
      <w:proofErr w:type="spellStart"/>
      <w:r w:rsidRPr="00A137C7">
        <w:rPr>
          <w:rFonts w:ascii="Times New Roman" w:hAnsi="Times New Roman" w:cs="Times New Roman"/>
          <w:i/>
          <w:iCs/>
        </w:rPr>
        <w:t>P</w:t>
      </w:r>
      <w:r w:rsidRPr="00A137C7">
        <w:rPr>
          <w:rFonts w:ascii="Times New Roman" w:hAnsi="Times New Roman" w:cs="Times New Roman"/>
          <w:i/>
          <w:iCs/>
          <w:vertAlign w:val="superscript"/>
        </w:rPr>
        <w:t>v</w:t>
      </w:r>
      <w:r w:rsidRPr="00A137C7">
        <w:rPr>
          <w:rFonts w:ascii="Times New Roman" w:hAnsi="Times New Roman" w:cs="Times New Roman"/>
          <w:vertAlign w:val="subscript"/>
        </w:rPr>
        <w:t>sat</w:t>
      </w:r>
      <w:proofErr w:type="spellEnd"/>
      <w:r>
        <w:rPr>
          <w:rFonts w:ascii="Times New Roman" w:hAnsi="Times New Roman" w:cs="Times New Roman"/>
        </w:rPr>
        <w:t xml:space="preserve"> and </w:t>
      </w:r>
      <w:r>
        <w:rPr>
          <w:rFonts w:ascii="Times New Roman" w:hAnsi="Times New Roman" w:cs="Times New Roman"/>
          <w:i/>
          <w:iCs/>
        </w:rPr>
        <w:t>f</w:t>
      </w:r>
      <w:r w:rsidRPr="00A137C7">
        <w:rPr>
          <w:rFonts w:ascii="Times New Roman" w:hAnsi="Times New Roman" w:cs="Times New Roman"/>
          <w:vertAlign w:val="subscript"/>
        </w:rPr>
        <w:t>O2</w:t>
      </w:r>
      <w:r>
        <w:rPr>
          <w:rFonts w:ascii="Times New Roman" w:hAnsi="Times New Roman" w:cs="Times New Roman"/>
        </w:rPr>
        <w:t xml:space="preserve">. We take the anhydrous melt composition in </w:t>
      </w:r>
      <w:r>
        <w:rPr>
          <w:rFonts w:ascii="Times New Roman" w:hAnsi="Times New Roman" w:cs="Times New Roman"/>
        </w:rPr>
        <w:fldChar w:fldCharType="begin"/>
      </w:r>
      <w:r>
        <w:rPr>
          <w:rFonts w:ascii="Times New Roman" w:hAnsi="Times New Roman" w:cs="Times New Roman"/>
        </w:rPr>
        <w:instrText xml:space="preserve"> REF _Ref76325339 \h </w:instrText>
      </w:r>
      <w:r>
        <w:rPr>
          <w:rFonts w:ascii="Times New Roman" w:hAnsi="Times New Roman" w:cs="Times New Roman"/>
        </w:rPr>
      </w:r>
      <w:r>
        <w:rPr>
          <w:rFonts w:ascii="Times New Roman" w:hAnsi="Times New Roman" w:cs="Times New Roman"/>
        </w:rPr>
        <w:fldChar w:fldCharType="separate"/>
      </w:r>
      <w:r w:rsidRPr="00F81B70">
        <w:rPr>
          <w:rFonts w:ascii="Times New Roman" w:hAnsi="Times New Roman" w:cs="Times New Roman"/>
          <w:color w:val="000000" w:themeColor="text1"/>
        </w:rPr>
        <w:t>Table S</w:t>
      </w:r>
      <w:r w:rsidRPr="00F81B70">
        <w:rPr>
          <w:rFonts w:ascii="Times New Roman" w:hAnsi="Times New Roman" w:cs="Times New Roman"/>
          <w:noProof/>
          <w:color w:val="000000" w:themeColor="text1"/>
        </w:rPr>
        <w:t>1</w:t>
      </w:r>
      <w:r>
        <w:rPr>
          <w:rFonts w:ascii="Times New Roman" w:hAnsi="Times New Roman" w:cs="Times New Roman"/>
        </w:rPr>
        <w:fldChar w:fldCharType="end"/>
      </w:r>
      <w:r>
        <w:rPr>
          <w:rFonts w:ascii="Times New Roman" w:hAnsi="Times New Roman" w:cs="Times New Roman"/>
        </w:rPr>
        <w:t xml:space="preserve"> and assume the relative errors on each oxide shown in</w:t>
      </w:r>
      <w:r w:rsidR="003C7931">
        <w:rPr>
          <w:rFonts w:ascii="Times New Roman" w:eastAsiaTheme="minorEastAsia" w:hAnsi="Times New Roman" w:cs="Times New Roman"/>
          <w:color w:val="000000" w:themeColor="text1"/>
        </w:rPr>
        <w:t xml:space="preserve"> </w:t>
      </w:r>
      <w:r w:rsidR="003C7931">
        <w:rPr>
          <w:rFonts w:ascii="Times New Roman" w:eastAsiaTheme="minorEastAsia" w:hAnsi="Times New Roman" w:cs="Times New Roman"/>
          <w:color w:val="000000" w:themeColor="text1"/>
        </w:rPr>
        <w:fldChar w:fldCharType="begin"/>
      </w:r>
      <w:r w:rsidR="003C7931">
        <w:rPr>
          <w:rFonts w:ascii="Times New Roman" w:eastAsiaTheme="minorEastAsia" w:hAnsi="Times New Roman" w:cs="Times New Roman"/>
          <w:color w:val="000000" w:themeColor="text1"/>
        </w:rPr>
        <w:instrText xml:space="preserve"> REF _Ref128329812 \h </w:instrText>
      </w:r>
      <w:r w:rsidR="003C7931">
        <w:rPr>
          <w:rFonts w:ascii="Times New Roman" w:eastAsiaTheme="minorEastAsia" w:hAnsi="Times New Roman" w:cs="Times New Roman"/>
          <w:color w:val="000000" w:themeColor="text1"/>
        </w:rPr>
      </w:r>
      <w:r w:rsidR="003C7931">
        <w:rPr>
          <w:rFonts w:ascii="Times New Roman" w:eastAsiaTheme="minorEastAsia" w:hAnsi="Times New Roman" w:cs="Times New Roman"/>
          <w:color w:val="000000" w:themeColor="text1"/>
        </w:rPr>
        <w:fldChar w:fldCharType="separate"/>
      </w:r>
      <w:r w:rsidR="003C7931" w:rsidRPr="00A137C7">
        <w:rPr>
          <w:rFonts w:ascii="Times New Roman" w:hAnsi="Times New Roman" w:cs="Times New Roman"/>
          <w:color w:val="000000" w:themeColor="text1"/>
        </w:rPr>
        <w:t>Table S</w:t>
      </w:r>
      <w:r w:rsidR="003C7931">
        <w:rPr>
          <w:rFonts w:ascii="Times New Roman" w:hAnsi="Times New Roman" w:cs="Times New Roman"/>
          <w:noProof/>
          <w:color w:val="000000" w:themeColor="text1"/>
        </w:rPr>
        <w:t>5</w:t>
      </w:r>
      <w:r w:rsidR="003C7931">
        <w:rPr>
          <w:rFonts w:ascii="Times New Roman" w:eastAsiaTheme="minorEastAsia" w:hAnsi="Times New Roman" w:cs="Times New Roman"/>
          <w:color w:val="000000" w:themeColor="text1"/>
        </w:rPr>
        <w:fldChar w:fldCharType="end"/>
      </w:r>
      <w:r>
        <w:rPr>
          <w:rFonts w:ascii="Times New Roman" w:hAnsi="Times New Roman" w:cs="Times New Roman"/>
        </w:rPr>
        <w:t xml:space="preserve">, which are typical for the electron probe. The melt contains 3 </w:t>
      </w:r>
      <w:proofErr w:type="spellStart"/>
      <w:r>
        <w:rPr>
          <w:rFonts w:ascii="Times New Roman" w:hAnsi="Times New Roman" w:cs="Times New Roman"/>
        </w:rPr>
        <w:t>wt</w:t>
      </w:r>
      <w:proofErr w:type="spellEnd"/>
      <w:r>
        <w:rPr>
          <w:rFonts w:ascii="Times New Roman" w:hAnsi="Times New Roman" w:cs="Times New Roman"/>
        </w:rPr>
        <w:t>% H</w:t>
      </w:r>
      <w:r w:rsidRPr="00A137C7">
        <w:rPr>
          <w:rFonts w:ascii="Times New Roman" w:hAnsi="Times New Roman" w:cs="Times New Roman"/>
          <w:vertAlign w:val="subscript"/>
        </w:rPr>
        <w:t>2</w:t>
      </w:r>
      <w:r>
        <w:rPr>
          <w:rFonts w:ascii="Times New Roman" w:hAnsi="Times New Roman" w:cs="Times New Roman"/>
        </w:rPr>
        <w:t>O-eq, 1000 ppm CO</w:t>
      </w:r>
      <w:r w:rsidRPr="00A137C7">
        <w:rPr>
          <w:rFonts w:ascii="Times New Roman" w:hAnsi="Times New Roman" w:cs="Times New Roman"/>
          <w:vertAlign w:val="subscript"/>
        </w:rPr>
        <w:t>2</w:t>
      </w:r>
      <w:r>
        <w:rPr>
          <w:rFonts w:ascii="Times New Roman" w:hAnsi="Times New Roman" w:cs="Times New Roman"/>
        </w:rPr>
        <w:t>, and 1000 ppm S-</w:t>
      </w:r>
      <w:proofErr w:type="spellStart"/>
      <w:r>
        <w:rPr>
          <w:rFonts w:ascii="Times New Roman" w:hAnsi="Times New Roman" w:cs="Times New Roman"/>
        </w:rPr>
        <w:t>eq</w:t>
      </w:r>
      <w:proofErr w:type="spellEnd"/>
      <w:r>
        <w:rPr>
          <w:rFonts w:ascii="Times New Roman" w:hAnsi="Times New Roman" w:cs="Times New Roman"/>
        </w:rPr>
        <w:t xml:space="preserve">, each with 10% relative error, which is typical for </w:t>
      </w:r>
      <w:r w:rsidR="008D4EA7">
        <w:rPr>
          <w:rFonts w:ascii="Times New Roman" w:hAnsi="Times New Roman" w:cs="Times New Roman"/>
        </w:rPr>
        <w:t>s</w:t>
      </w:r>
      <w:r>
        <w:rPr>
          <w:rFonts w:ascii="Times New Roman" w:hAnsi="Times New Roman" w:cs="Times New Roman"/>
        </w:rPr>
        <w:t xml:space="preserve">econdary </w:t>
      </w:r>
      <w:r w:rsidR="008D4EA7">
        <w:rPr>
          <w:rFonts w:ascii="Times New Roman" w:hAnsi="Times New Roman" w:cs="Times New Roman"/>
        </w:rPr>
        <w:t>i</w:t>
      </w:r>
      <w:r>
        <w:rPr>
          <w:rFonts w:ascii="Times New Roman" w:hAnsi="Times New Roman" w:cs="Times New Roman"/>
        </w:rPr>
        <w:t xml:space="preserve">on </w:t>
      </w:r>
      <w:r w:rsidR="008D4EA7">
        <w:rPr>
          <w:rFonts w:ascii="Times New Roman" w:hAnsi="Times New Roman" w:cs="Times New Roman"/>
        </w:rPr>
        <w:t>m</w:t>
      </w:r>
      <w:r>
        <w:rPr>
          <w:rFonts w:ascii="Times New Roman" w:hAnsi="Times New Roman" w:cs="Times New Roman"/>
        </w:rPr>
        <w:t xml:space="preserve">ass </w:t>
      </w:r>
      <w:r w:rsidR="008D4EA7">
        <w:rPr>
          <w:rFonts w:ascii="Times New Roman" w:hAnsi="Times New Roman" w:cs="Times New Roman"/>
        </w:rPr>
        <w:t>s</w:t>
      </w:r>
      <w:r>
        <w:rPr>
          <w:rFonts w:ascii="Times New Roman" w:hAnsi="Times New Roman" w:cs="Times New Roman"/>
        </w:rPr>
        <w:t xml:space="preserve">pectrometry or Fourier </w:t>
      </w:r>
      <w:r w:rsidR="008D4EA7">
        <w:rPr>
          <w:rFonts w:ascii="Times New Roman" w:hAnsi="Times New Roman" w:cs="Times New Roman"/>
        </w:rPr>
        <w:t>t</w:t>
      </w:r>
      <w:r>
        <w:rPr>
          <w:rFonts w:ascii="Times New Roman" w:hAnsi="Times New Roman" w:cs="Times New Roman"/>
        </w:rPr>
        <w:t xml:space="preserve">ransform </w:t>
      </w:r>
      <w:r w:rsidR="008D4EA7">
        <w:rPr>
          <w:rFonts w:ascii="Times New Roman" w:hAnsi="Times New Roman" w:cs="Times New Roman"/>
        </w:rPr>
        <w:t>i</w:t>
      </w:r>
      <w:r>
        <w:rPr>
          <w:rFonts w:ascii="Times New Roman" w:hAnsi="Times New Roman" w:cs="Times New Roman"/>
        </w:rPr>
        <w:t>nfra</w:t>
      </w:r>
      <w:r w:rsidR="008D4EA7">
        <w:rPr>
          <w:rFonts w:ascii="Times New Roman" w:hAnsi="Times New Roman" w:cs="Times New Roman"/>
        </w:rPr>
        <w:t>r</w:t>
      </w:r>
      <w:r>
        <w:rPr>
          <w:rFonts w:ascii="Times New Roman" w:hAnsi="Times New Roman" w:cs="Times New Roman"/>
        </w:rPr>
        <w:t>ed spectroscopy. We choose four different Fe</w:t>
      </w:r>
      <w:r w:rsidRPr="000B6300">
        <w:rPr>
          <w:rFonts w:ascii="Times New Roman" w:hAnsi="Times New Roman" w:cs="Times New Roman"/>
          <w:vertAlign w:val="superscript"/>
        </w:rPr>
        <w:t>3+</w:t>
      </w:r>
      <w:r>
        <w:rPr>
          <w:rFonts w:ascii="Times New Roman" w:hAnsi="Times New Roman" w:cs="Times New Roman"/>
        </w:rPr>
        <w:t>/</w:t>
      </w:r>
      <w:proofErr w:type="spellStart"/>
      <w:r>
        <w:rPr>
          <w:rFonts w:ascii="Times New Roman" w:hAnsi="Times New Roman" w:cs="Times New Roman"/>
        </w:rPr>
        <w:t>Fe</w:t>
      </w:r>
      <w:r w:rsidRPr="000B6300">
        <w:rPr>
          <w:rFonts w:ascii="Times New Roman" w:hAnsi="Times New Roman" w:cs="Times New Roman"/>
          <w:vertAlign w:val="subscript"/>
        </w:rPr>
        <w:t>T</w:t>
      </w:r>
      <w:proofErr w:type="spellEnd"/>
      <w:r>
        <w:rPr>
          <w:rFonts w:ascii="Times New Roman" w:hAnsi="Times New Roman" w:cs="Times New Roman"/>
        </w:rPr>
        <w:t xml:space="preserve"> with 0.01 absolute error that is typical with X-ray </w:t>
      </w:r>
      <w:r w:rsidR="008D4EA7">
        <w:rPr>
          <w:rFonts w:ascii="Times New Roman" w:hAnsi="Times New Roman" w:cs="Times New Roman"/>
        </w:rPr>
        <w:t>a</w:t>
      </w:r>
      <w:r>
        <w:rPr>
          <w:rFonts w:ascii="Times New Roman" w:hAnsi="Times New Roman" w:cs="Times New Roman"/>
        </w:rPr>
        <w:t xml:space="preserve">bsorption </w:t>
      </w:r>
      <w:r w:rsidR="008D4EA7">
        <w:rPr>
          <w:rFonts w:ascii="Times New Roman" w:hAnsi="Times New Roman" w:cs="Times New Roman"/>
        </w:rPr>
        <w:t>n</w:t>
      </w:r>
      <w:r>
        <w:rPr>
          <w:rFonts w:ascii="Times New Roman" w:hAnsi="Times New Roman" w:cs="Times New Roman"/>
        </w:rPr>
        <w:t>ear-</w:t>
      </w:r>
      <w:r w:rsidR="008D4EA7">
        <w:rPr>
          <w:rFonts w:ascii="Times New Roman" w:hAnsi="Times New Roman" w:cs="Times New Roman"/>
        </w:rPr>
        <w:t>e</w:t>
      </w:r>
      <w:r>
        <w:rPr>
          <w:rFonts w:ascii="Times New Roman" w:hAnsi="Times New Roman" w:cs="Times New Roman"/>
        </w:rPr>
        <w:t xml:space="preserve">dge </w:t>
      </w:r>
      <w:r w:rsidR="008D4EA7">
        <w:rPr>
          <w:rFonts w:ascii="Times New Roman" w:hAnsi="Times New Roman" w:cs="Times New Roman"/>
        </w:rPr>
        <w:t>s</w:t>
      </w:r>
      <w:r>
        <w:rPr>
          <w:rFonts w:ascii="Times New Roman" w:hAnsi="Times New Roman" w:cs="Times New Roman"/>
        </w:rPr>
        <w:t xml:space="preserve">tructure spectroscopy </w:t>
      </w:r>
      <w:r>
        <w:rPr>
          <w:rFonts w:ascii="Times New Roman" w:hAnsi="Times New Roman" w:cs="Times New Roman"/>
        </w:rPr>
        <w:fldChar w:fldCharType="begin" w:fldLock="1"/>
      </w:r>
      <w:r w:rsidR="00D43EB5">
        <w:rPr>
          <w:rFonts w:ascii="Times New Roman" w:hAnsi="Times New Roman" w:cs="Times New Roman"/>
        </w:rPr>
        <w:instrText>ADDIN CSL_CITATION {"citationItems":[{"id":"ITEM-1","itemData":{"DOI":"10.1016/j.chemgeo.2009.08.008","ISSN":"00092541","author":[{"dropping-particle":"","family":"Cottrell","given":"Elizabeth","non-dropping-particle":"","parse-names":false,"suffix":""},{"dropping-particle":"","family":"Kelley","given":"Katherine A.","non-dropping-particle":"","parse-names":false,"suffix":""},{"dropping-particle":"","family":"Lanzirotti","given":"Antonio","non-dropping-particle":"","parse-names":false,"suffix":""},{"dropping-particle":"","family":"Fischer","given":"Rebecca A.","non-dropping-particle":"","parse-names":false,"suffix":""}],"container-title":"Chemical Geology","id":"ITEM-1","issue":"3-4","issued":{"date-parts":[["2009","11"]]},"page":"167-179","title":"High-precision determination of iron oxidation state in silicate glasses using XANES","type":"article-journal","volume":"268"},"uris":["http://www.mendeley.com/documents/?uuid=f90a0e8f-7a5c-335f-bf4f-ce4325e2a262"]}],"mendeley":{"formattedCitation":"(Cottrell et al., 2009)","plainTextFormattedCitation":"(Cottrell et al., 2009)","previouslyFormattedCitation":"(Cottrell et al., 2009)"},"properties":{"noteIndex":0},"schema":"https://github.com/citation-style-language/schema/raw/master/csl-citation.json"}</w:instrText>
      </w:r>
      <w:r>
        <w:rPr>
          <w:rFonts w:ascii="Times New Roman" w:hAnsi="Times New Roman" w:cs="Times New Roman"/>
        </w:rPr>
        <w:fldChar w:fldCharType="separate"/>
      </w:r>
      <w:r w:rsidR="00D43EB5" w:rsidRPr="00D43EB5">
        <w:rPr>
          <w:rFonts w:ascii="Times New Roman" w:hAnsi="Times New Roman" w:cs="Times New Roman"/>
          <w:noProof/>
        </w:rPr>
        <w:t>(Cottrell et al., 2009)</w:t>
      </w:r>
      <w:r>
        <w:rPr>
          <w:rFonts w:ascii="Times New Roman" w:hAnsi="Times New Roman" w:cs="Times New Roman"/>
        </w:rPr>
        <w:fldChar w:fldCharType="end"/>
      </w:r>
      <w:r>
        <w:rPr>
          <w:rFonts w:ascii="Times New Roman" w:hAnsi="Times New Roman" w:cs="Times New Roman"/>
        </w:rPr>
        <w:t xml:space="preserve">, 0.235 (the </w:t>
      </w:r>
      <w:proofErr w:type="spellStart"/>
      <w:r>
        <w:rPr>
          <w:rFonts w:ascii="Times New Roman" w:hAnsi="Times New Roman" w:cs="Times New Roman"/>
        </w:rPr>
        <w:t>sulfur</w:t>
      </w:r>
      <w:proofErr w:type="spellEnd"/>
      <w:r>
        <w:rPr>
          <w:rFonts w:ascii="Times New Roman" w:hAnsi="Times New Roman" w:cs="Times New Roman"/>
        </w:rPr>
        <w:t xml:space="preserve"> solubility minimum); 0.160 (the minimum between the </w:t>
      </w:r>
      <w:proofErr w:type="spellStart"/>
      <w:r>
        <w:rPr>
          <w:rFonts w:ascii="Times New Roman" w:hAnsi="Times New Roman" w:cs="Times New Roman"/>
        </w:rPr>
        <w:t>sulfur</w:t>
      </w:r>
      <w:proofErr w:type="spellEnd"/>
      <w:r>
        <w:rPr>
          <w:rFonts w:ascii="Times New Roman" w:hAnsi="Times New Roman" w:cs="Times New Roman"/>
        </w:rPr>
        <w:t xml:space="preserve"> solubility </w:t>
      </w:r>
      <w:r w:rsidR="00D43EB5">
        <w:rPr>
          <w:rFonts w:ascii="Times New Roman" w:hAnsi="Times New Roman" w:cs="Times New Roman"/>
        </w:rPr>
        <w:t>minimum</w:t>
      </w:r>
      <w:r>
        <w:rPr>
          <w:rFonts w:ascii="Times New Roman" w:hAnsi="Times New Roman" w:cs="Times New Roman"/>
        </w:rPr>
        <w:t xml:space="preserve"> and the rapid increase due to the build-up of insoluble species); 0.063 (equivalent to ~</w:t>
      </w:r>
      <w:r w:rsidRPr="00A137C7">
        <w:rPr>
          <w:rFonts w:ascii="Times New Roman" w:hAnsi="Times New Roman" w:cs="Times New Roman"/>
        </w:rPr>
        <w:t>Δ</w:t>
      </w:r>
      <w:r>
        <w:rPr>
          <w:rFonts w:ascii="Times New Roman" w:hAnsi="Times New Roman" w:cs="Times New Roman"/>
        </w:rPr>
        <w:t>FMQ-2); and 0.313 (equivalent to ~</w:t>
      </w:r>
      <w:bookmarkStart w:id="35" w:name="OLE_LINK4"/>
      <w:r w:rsidRPr="00A137C7">
        <w:rPr>
          <w:rFonts w:ascii="Times New Roman" w:hAnsi="Times New Roman" w:cs="Times New Roman"/>
        </w:rPr>
        <w:t>Δ</w:t>
      </w:r>
      <w:r>
        <w:rPr>
          <w:rFonts w:ascii="Times New Roman" w:hAnsi="Times New Roman" w:cs="Times New Roman"/>
        </w:rPr>
        <w:t>FMQ</w:t>
      </w:r>
      <w:bookmarkEnd w:id="35"/>
      <w:r>
        <w:rPr>
          <w:rFonts w:ascii="Times New Roman" w:hAnsi="Times New Roman" w:cs="Times New Roman"/>
        </w:rPr>
        <w:t xml:space="preserve">+2). </w:t>
      </w:r>
      <w:r w:rsidR="003C7931">
        <w:rPr>
          <w:rFonts w:ascii="Times New Roman" w:hAnsi="Times New Roman" w:cs="Times New Roman"/>
        </w:rPr>
        <w:t>When a parameter is varied, we calculate 100 melt compositions assuming a Gaussian probability distribution given the assumed uncertainty of the parameter.</w:t>
      </w:r>
    </w:p>
    <w:p w14:paraId="356F18E2" w14:textId="77777777" w:rsidR="00AC4246" w:rsidRDefault="00AC4246" w:rsidP="00AC4246">
      <w:pPr>
        <w:jc w:val="both"/>
        <w:rPr>
          <w:rFonts w:ascii="Times New Roman" w:hAnsi="Times New Roman" w:cs="Times New Roman"/>
        </w:rPr>
      </w:pPr>
    </w:p>
    <w:p w14:paraId="021A5352" w14:textId="77777777" w:rsidR="00AC4246" w:rsidRPr="00A137C7" w:rsidRDefault="00AC4246" w:rsidP="00AC4246">
      <w:pPr>
        <w:pStyle w:val="Caption"/>
        <w:keepNext/>
        <w:spacing w:after="0"/>
        <w:ind w:firstLine="0"/>
        <w:rPr>
          <w:rFonts w:ascii="Times New Roman" w:hAnsi="Times New Roman" w:cs="Times New Roman"/>
          <w:i w:val="0"/>
          <w:iCs w:val="0"/>
          <w:color w:val="000000" w:themeColor="text1"/>
          <w:sz w:val="24"/>
          <w:szCs w:val="24"/>
        </w:rPr>
      </w:pPr>
      <w:bookmarkStart w:id="36" w:name="_Ref128329812"/>
      <w:r w:rsidRPr="00A137C7">
        <w:rPr>
          <w:rFonts w:ascii="Times New Roman" w:hAnsi="Times New Roman" w:cs="Times New Roman"/>
          <w:color w:val="000000" w:themeColor="text1"/>
          <w:sz w:val="24"/>
          <w:szCs w:val="24"/>
        </w:rPr>
        <w:lastRenderedPageBreak/>
        <w:t>Table S</w:t>
      </w:r>
      <w:r w:rsidRPr="00A137C7">
        <w:rPr>
          <w:rFonts w:ascii="Times New Roman" w:hAnsi="Times New Roman" w:cs="Times New Roman"/>
          <w:color w:val="000000" w:themeColor="text1"/>
          <w:sz w:val="24"/>
          <w:szCs w:val="24"/>
        </w:rPr>
        <w:fldChar w:fldCharType="begin"/>
      </w:r>
      <w:r w:rsidRPr="00A137C7">
        <w:rPr>
          <w:rFonts w:ascii="Times New Roman" w:hAnsi="Times New Roman" w:cs="Times New Roman"/>
          <w:color w:val="000000" w:themeColor="text1"/>
          <w:sz w:val="24"/>
          <w:szCs w:val="24"/>
        </w:rPr>
        <w:instrText xml:space="preserve"> SEQ Table \* ARABIC </w:instrText>
      </w:r>
      <w:r w:rsidRPr="00A137C7">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5</w:t>
      </w:r>
      <w:r w:rsidRPr="00A137C7">
        <w:rPr>
          <w:rFonts w:ascii="Times New Roman" w:hAnsi="Times New Roman" w:cs="Times New Roman"/>
          <w:color w:val="000000" w:themeColor="text1"/>
          <w:sz w:val="24"/>
          <w:szCs w:val="24"/>
        </w:rPr>
        <w:fldChar w:fldCharType="end"/>
      </w:r>
      <w:bookmarkEnd w:id="36"/>
      <w:r w:rsidRPr="00A137C7">
        <w:rPr>
          <w:rFonts w:ascii="Times New Roman" w:hAnsi="Times New Roman" w:cs="Times New Roman"/>
          <w:i w:val="0"/>
          <w:iCs w:val="0"/>
          <w:color w:val="000000" w:themeColor="text1"/>
          <w:sz w:val="24"/>
          <w:szCs w:val="24"/>
        </w:rPr>
        <w:t xml:space="preserve"> Relative error (%) for each oxide.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7"/>
        <w:gridCol w:w="899"/>
        <w:gridCol w:w="915"/>
        <w:gridCol w:w="906"/>
        <w:gridCol w:w="905"/>
        <w:gridCol w:w="905"/>
        <w:gridCol w:w="896"/>
        <w:gridCol w:w="909"/>
        <w:gridCol w:w="894"/>
        <w:gridCol w:w="900"/>
      </w:tblGrid>
      <w:tr w:rsidR="00AC4246" w:rsidRPr="00CC0D73" w14:paraId="1CF79112" w14:textId="77777777" w:rsidTr="00B016E9">
        <w:tc>
          <w:tcPr>
            <w:tcW w:w="935" w:type="dxa"/>
            <w:tcBorders>
              <w:top w:val="single" w:sz="4" w:space="0" w:color="auto"/>
            </w:tcBorders>
          </w:tcPr>
          <w:p w14:paraId="46FB33A0"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SiO</w:t>
            </w:r>
            <w:r w:rsidRPr="00CC0D73">
              <w:rPr>
                <w:rFonts w:ascii="Times New Roman" w:hAnsi="Times New Roman" w:cs="Times New Roman"/>
                <w:vertAlign w:val="subscript"/>
              </w:rPr>
              <w:t>2</w:t>
            </w:r>
          </w:p>
        </w:tc>
        <w:tc>
          <w:tcPr>
            <w:tcW w:w="935" w:type="dxa"/>
            <w:tcBorders>
              <w:top w:val="single" w:sz="4" w:space="0" w:color="auto"/>
            </w:tcBorders>
          </w:tcPr>
          <w:p w14:paraId="2DF85BDE"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TiO</w:t>
            </w:r>
            <w:r w:rsidRPr="00CC0D73">
              <w:rPr>
                <w:rFonts w:ascii="Times New Roman" w:hAnsi="Times New Roman" w:cs="Times New Roman"/>
                <w:vertAlign w:val="subscript"/>
              </w:rPr>
              <w:t>2</w:t>
            </w:r>
          </w:p>
        </w:tc>
        <w:tc>
          <w:tcPr>
            <w:tcW w:w="935" w:type="dxa"/>
            <w:tcBorders>
              <w:top w:val="single" w:sz="4" w:space="0" w:color="auto"/>
            </w:tcBorders>
          </w:tcPr>
          <w:p w14:paraId="2BE91CDB"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Al</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3</w:t>
            </w:r>
          </w:p>
        </w:tc>
        <w:tc>
          <w:tcPr>
            <w:tcW w:w="935" w:type="dxa"/>
            <w:tcBorders>
              <w:top w:val="single" w:sz="4" w:space="0" w:color="auto"/>
            </w:tcBorders>
          </w:tcPr>
          <w:p w14:paraId="2904C2CB" w14:textId="77777777" w:rsidR="00AC4246" w:rsidRPr="00CC0D73" w:rsidRDefault="00AC4246" w:rsidP="00B016E9">
            <w:pPr>
              <w:jc w:val="center"/>
              <w:rPr>
                <w:rFonts w:ascii="Times New Roman" w:hAnsi="Times New Roman" w:cs="Times New Roman"/>
              </w:rPr>
            </w:pPr>
            <w:proofErr w:type="spellStart"/>
            <w:r w:rsidRPr="00CC0D73">
              <w:rPr>
                <w:rFonts w:ascii="Times New Roman" w:hAnsi="Times New Roman" w:cs="Times New Roman"/>
              </w:rPr>
              <w:t>FeO</w:t>
            </w:r>
            <w:r w:rsidRPr="00CC0D73">
              <w:rPr>
                <w:rFonts w:ascii="Times New Roman" w:hAnsi="Times New Roman" w:cs="Times New Roman"/>
                <w:vertAlign w:val="subscript"/>
              </w:rPr>
              <w:t>T</w:t>
            </w:r>
            <w:proofErr w:type="spellEnd"/>
          </w:p>
        </w:tc>
        <w:tc>
          <w:tcPr>
            <w:tcW w:w="935" w:type="dxa"/>
            <w:tcBorders>
              <w:top w:val="single" w:sz="4" w:space="0" w:color="auto"/>
            </w:tcBorders>
          </w:tcPr>
          <w:p w14:paraId="36B1B94B" w14:textId="77777777" w:rsidR="00AC4246" w:rsidRPr="00CC0D73" w:rsidRDefault="00AC4246" w:rsidP="00B016E9">
            <w:pPr>
              <w:jc w:val="center"/>
              <w:rPr>
                <w:rFonts w:ascii="Times New Roman" w:hAnsi="Times New Roman" w:cs="Times New Roman"/>
              </w:rPr>
            </w:pPr>
            <w:proofErr w:type="spellStart"/>
            <w:r w:rsidRPr="00CC0D73">
              <w:rPr>
                <w:rFonts w:ascii="Times New Roman" w:hAnsi="Times New Roman" w:cs="Times New Roman"/>
              </w:rPr>
              <w:t>MnO</w:t>
            </w:r>
            <w:proofErr w:type="spellEnd"/>
          </w:p>
        </w:tc>
        <w:tc>
          <w:tcPr>
            <w:tcW w:w="935" w:type="dxa"/>
            <w:tcBorders>
              <w:top w:val="single" w:sz="4" w:space="0" w:color="auto"/>
            </w:tcBorders>
          </w:tcPr>
          <w:p w14:paraId="5B1E3A07"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MgO</w:t>
            </w:r>
          </w:p>
        </w:tc>
        <w:tc>
          <w:tcPr>
            <w:tcW w:w="935" w:type="dxa"/>
            <w:tcBorders>
              <w:top w:val="single" w:sz="4" w:space="0" w:color="auto"/>
            </w:tcBorders>
          </w:tcPr>
          <w:p w14:paraId="31A4F8D5" w14:textId="77777777" w:rsidR="00AC4246" w:rsidRPr="00CC0D73" w:rsidRDefault="00AC4246" w:rsidP="00B016E9">
            <w:pPr>
              <w:jc w:val="center"/>
              <w:rPr>
                <w:rFonts w:ascii="Times New Roman" w:hAnsi="Times New Roman" w:cs="Times New Roman"/>
              </w:rPr>
            </w:pPr>
            <w:proofErr w:type="spellStart"/>
            <w:r w:rsidRPr="00CC0D73">
              <w:rPr>
                <w:rFonts w:ascii="Times New Roman" w:hAnsi="Times New Roman" w:cs="Times New Roman"/>
              </w:rPr>
              <w:t>CaO</w:t>
            </w:r>
            <w:proofErr w:type="spellEnd"/>
          </w:p>
        </w:tc>
        <w:tc>
          <w:tcPr>
            <w:tcW w:w="935" w:type="dxa"/>
            <w:tcBorders>
              <w:top w:val="single" w:sz="4" w:space="0" w:color="auto"/>
            </w:tcBorders>
          </w:tcPr>
          <w:p w14:paraId="20EAD880"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Na</w:t>
            </w:r>
            <w:r w:rsidRPr="00CC0D73">
              <w:rPr>
                <w:rFonts w:ascii="Times New Roman" w:hAnsi="Times New Roman" w:cs="Times New Roman"/>
                <w:vertAlign w:val="subscript"/>
              </w:rPr>
              <w:t>2</w:t>
            </w:r>
            <w:r w:rsidRPr="00CC0D73">
              <w:rPr>
                <w:rFonts w:ascii="Times New Roman" w:hAnsi="Times New Roman" w:cs="Times New Roman"/>
              </w:rPr>
              <w:t>O</w:t>
            </w:r>
          </w:p>
        </w:tc>
        <w:tc>
          <w:tcPr>
            <w:tcW w:w="935" w:type="dxa"/>
            <w:tcBorders>
              <w:top w:val="single" w:sz="4" w:space="0" w:color="auto"/>
            </w:tcBorders>
          </w:tcPr>
          <w:p w14:paraId="6C806729"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K</w:t>
            </w:r>
            <w:r w:rsidRPr="00CC0D73">
              <w:rPr>
                <w:rFonts w:ascii="Times New Roman" w:hAnsi="Times New Roman" w:cs="Times New Roman"/>
                <w:vertAlign w:val="subscript"/>
              </w:rPr>
              <w:t>2</w:t>
            </w:r>
            <w:r w:rsidRPr="00CC0D73">
              <w:rPr>
                <w:rFonts w:ascii="Times New Roman" w:hAnsi="Times New Roman" w:cs="Times New Roman"/>
              </w:rPr>
              <w:t>O</w:t>
            </w:r>
          </w:p>
        </w:tc>
        <w:tc>
          <w:tcPr>
            <w:tcW w:w="935" w:type="dxa"/>
            <w:tcBorders>
              <w:top w:val="single" w:sz="4" w:space="0" w:color="auto"/>
            </w:tcBorders>
          </w:tcPr>
          <w:p w14:paraId="150286BC" w14:textId="77777777" w:rsidR="00AC4246" w:rsidRPr="00CC0D73" w:rsidRDefault="00AC4246" w:rsidP="00B016E9">
            <w:pPr>
              <w:jc w:val="center"/>
              <w:rPr>
                <w:rFonts w:ascii="Times New Roman" w:hAnsi="Times New Roman" w:cs="Times New Roman"/>
              </w:rPr>
            </w:pPr>
            <w:r w:rsidRPr="00CC0D73">
              <w:rPr>
                <w:rFonts w:ascii="Times New Roman" w:hAnsi="Times New Roman" w:cs="Times New Roman"/>
              </w:rPr>
              <w:t>P</w:t>
            </w:r>
            <w:r w:rsidRPr="00CC0D73">
              <w:rPr>
                <w:rFonts w:ascii="Times New Roman" w:hAnsi="Times New Roman" w:cs="Times New Roman"/>
                <w:vertAlign w:val="subscript"/>
              </w:rPr>
              <w:t>2</w:t>
            </w:r>
            <w:r w:rsidRPr="00CC0D73">
              <w:rPr>
                <w:rFonts w:ascii="Times New Roman" w:hAnsi="Times New Roman" w:cs="Times New Roman"/>
              </w:rPr>
              <w:t>O</w:t>
            </w:r>
            <w:r w:rsidRPr="00CC0D73">
              <w:rPr>
                <w:rFonts w:ascii="Times New Roman" w:hAnsi="Times New Roman" w:cs="Times New Roman"/>
                <w:vertAlign w:val="subscript"/>
              </w:rPr>
              <w:t>5</w:t>
            </w:r>
          </w:p>
        </w:tc>
      </w:tr>
      <w:tr w:rsidR="00AC4246" w:rsidRPr="00CC0D73" w14:paraId="2B5792F7" w14:textId="77777777" w:rsidTr="00B016E9">
        <w:tc>
          <w:tcPr>
            <w:tcW w:w="935" w:type="dxa"/>
            <w:tcBorders>
              <w:bottom w:val="single" w:sz="4" w:space="0" w:color="auto"/>
            </w:tcBorders>
          </w:tcPr>
          <w:p w14:paraId="608530E9" w14:textId="77777777" w:rsidR="00AC4246" w:rsidRPr="00CC0D73" w:rsidRDefault="00AC4246" w:rsidP="00B016E9">
            <w:pPr>
              <w:jc w:val="right"/>
              <w:rPr>
                <w:rFonts w:ascii="Times New Roman" w:hAnsi="Times New Roman" w:cs="Times New Roman"/>
              </w:rPr>
            </w:pPr>
            <w:r>
              <w:rPr>
                <w:rFonts w:ascii="Times New Roman" w:hAnsi="Times New Roman" w:cs="Times New Roman"/>
              </w:rPr>
              <w:t>0.64</w:t>
            </w:r>
          </w:p>
        </w:tc>
        <w:tc>
          <w:tcPr>
            <w:tcW w:w="935" w:type="dxa"/>
            <w:tcBorders>
              <w:bottom w:val="single" w:sz="4" w:space="0" w:color="auto"/>
            </w:tcBorders>
          </w:tcPr>
          <w:p w14:paraId="70B23E85" w14:textId="77777777" w:rsidR="00AC4246" w:rsidRPr="00CC0D73" w:rsidRDefault="00AC4246" w:rsidP="00B016E9">
            <w:pPr>
              <w:jc w:val="right"/>
              <w:rPr>
                <w:rFonts w:ascii="Times New Roman" w:hAnsi="Times New Roman" w:cs="Times New Roman"/>
              </w:rPr>
            </w:pPr>
            <w:r>
              <w:rPr>
                <w:rFonts w:ascii="Times New Roman" w:hAnsi="Times New Roman" w:cs="Times New Roman"/>
              </w:rPr>
              <w:t>5.3</w:t>
            </w:r>
          </w:p>
        </w:tc>
        <w:tc>
          <w:tcPr>
            <w:tcW w:w="935" w:type="dxa"/>
            <w:tcBorders>
              <w:bottom w:val="single" w:sz="4" w:space="0" w:color="auto"/>
            </w:tcBorders>
          </w:tcPr>
          <w:p w14:paraId="01157965" w14:textId="77777777" w:rsidR="00AC4246" w:rsidRPr="00CC0D73" w:rsidRDefault="00AC4246" w:rsidP="00B016E9">
            <w:pPr>
              <w:jc w:val="right"/>
              <w:rPr>
                <w:rFonts w:ascii="Times New Roman" w:hAnsi="Times New Roman" w:cs="Times New Roman"/>
              </w:rPr>
            </w:pPr>
            <w:r>
              <w:rPr>
                <w:rFonts w:ascii="Times New Roman" w:hAnsi="Times New Roman" w:cs="Times New Roman"/>
              </w:rPr>
              <w:t>0.88</w:t>
            </w:r>
          </w:p>
        </w:tc>
        <w:tc>
          <w:tcPr>
            <w:tcW w:w="935" w:type="dxa"/>
            <w:tcBorders>
              <w:bottom w:val="single" w:sz="4" w:space="0" w:color="auto"/>
            </w:tcBorders>
          </w:tcPr>
          <w:p w14:paraId="2FDEBB95" w14:textId="77777777" w:rsidR="00AC4246" w:rsidRPr="00CC0D73" w:rsidRDefault="00AC4246" w:rsidP="00B016E9">
            <w:pPr>
              <w:jc w:val="right"/>
              <w:rPr>
                <w:rFonts w:ascii="Times New Roman" w:hAnsi="Times New Roman" w:cs="Times New Roman"/>
              </w:rPr>
            </w:pPr>
            <w:r>
              <w:rPr>
                <w:rFonts w:ascii="Times New Roman" w:hAnsi="Times New Roman" w:cs="Times New Roman"/>
              </w:rPr>
              <w:t>1.7</w:t>
            </w:r>
          </w:p>
        </w:tc>
        <w:tc>
          <w:tcPr>
            <w:tcW w:w="935" w:type="dxa"/>
            <w:tcBorders>
              <w:bottom w:val="single" w:sz="4" w:space="0" w:color="auto"/>
            </w:tcBorders>
          </w:tcPr>
          <w:p w14:paraId="0ECF1D32" w14:textId="77777777" w:rsidR="00AC4246" w:rsidRPr="00CC0D73" w:rsidRDefault="00AC4246" w:rsidP="00B016E9">
            <w:pPr>
              <w:jc w:val="right"/>
              <w:rPr>
                <w:rFonts w:ascii="Times New Roman" w:hAnsi="Times New Roman" w:cs="Times New Roman"/>
              </w:rPr>
            </w:pPr>
            <w:r>
              <w:rPr>
                <w:rFonts w:ascii="Times New Roman" w:hAnsi="Times New Roman" w:cs="Times New Roman"/>
              </w:rPr>
              <w:t>14.3</w:t>
            </w:r>
          </w:p>
        </w:tc>
        <w:tc>
          <w:tcPr>
            <w:tcW w:w="935" w:type="dxa"/>
            <w:tcBorders>
              <w:bottom w:val="single" w:sz="4" w:space="0" w:color="auto"/>
            </w:tcBorders>
          </w:tcPr>
          <w:p w14:paraId="3A9FD2E1" w14:textId="77777777" w:rsidR="00AC4246" w:rsidRPr="00CC0D73" w:rsidRDefault="00AC4246" w:rsidP="00B016E9">
            <w:pPr>
              <w:jc w:val="right"/>
              <w:rPr>
                <w:rFonts w:ascii="Times New Roman" w:hAnsi="Times New Roman" w:cs="Times New Roman"/>
              </w:rPr>
            </w:pPr>
            <w:r>
              <w:rPr>
                <w:rFonts w:ascii="Times New Roman" w:hAnsi="Times New Roman" w:cs="Times New Roman"/>
              </w:rPr>
              <w:t>1.4</w:t>
            </w:r>
          </w:p>
        </w:tc>
        <w:tc>
          <w:tcPr>
            <w:tcW w:w="935" w:type="dxa"/>
            <w:tcBorders>
              <w:bottom w:val="single" w:sz="4" w:space="0" w:color="auto"/>
            </w:tcBorders>
          </w:tcPr>
          <w:p w14:paraId="2069DD6A" w14:textId="77777777" w:rsidR="00AC4246" w:rsidRPr="00CC0D73" w:rsidRDefault="00AC4246" w:rsidP="00B016E9">
            <w:pPr>
              <w:jc w:val="right"/>
              <w:rPr>
                <w:rFonts w:ascii="Times New Roman" w:hAnsi="Times New Roman" w:cs="Times New Roman"/>
              </w:rPr>
            </w:pPr>
            <w:r>
              <w:rPr>
                <w:rFonts w:ascii="Times New Roman" w:hAnsi="Times New Roman" w:cs="Times New Roman"/>
              </w:rPr>
              <w:t>1.1</w:t>
            </w:r>
          </w:p>
        </w:tc>
        <w:tc>
          <w:tcPr>
            <w:tcW w:w="935" w:type="dxa"/>
            <w:tcBorders>
              <w:bottom w:val="single" w:sz="4" w:space="0" w:color="auto"/>
            </w:tcBorders>
          </w:tcPr>
          <w:p w14:paraId="185FFB3C" w14:textId="77777777" w:rsidR="00AC4246" w:rsidRPr="00CC0D73" w:rsidRDefault="00AC4246" w:rsidP="00B016E9">
            <w:pPr>
              <w:jc w:val="right"/>
              <w:rPr>
                <w:rFonts w:ascii="Times New Roman" w:hAnsi="Times New Roman" w:cs="Times New Roman"/>
              </w:rPr>
            </w:pPr>
            <w:r>
              <w:rPr>
                <w:rFonts w:ascii="Times New Roman" w:hAnsi="Times New Roman" w:cs="Times New Roman"/>
              </w:rPr>
              <w:t>3.5</w:t>
            </w:r>
          </w:p>
        </w:tc>
        <w:tc>
          <w:tcPr>
            <w:tcW w:w="935" w:type="dxa"/>
            <w:tcBorders>
              <w:bottom w:val="single" w:sz="4" w:space="0" w:color="auto"/>
            </w:tcBorders>
          </w:tcPr>
          <w:p w14:paraId="3535EA77" w14:textId="77777777" w:rsidR="00AC4246" w:rsidRPr="00CC0D73" w:rsidRDefault="00AC4246" w:rsidP="00B016E9">
            <w:pPr>
              <w:jc w:val="right"/>
              <w:rPr>
                <w:rFonts w:ascii="Times New Roman" w:hAnsi="Times New Roman" w:cs="Times New Roman"/>
              </w:rPr>
            </w:pPr>
            <w:r>
              <w:rPr>
                <w:rFonts w:ascii="Times New Roman" w:hAnsi="Times New Roman" w:cs="Times New Roman"/>
              </w:rPr>
              <w:t>2.2</w:t>
            </w:r>
          </w:p>
        </w:tc>
        <w:tc>
          <w:tcPr>
            <w:tcW w:w="935" w:type="dxa"/>
            <w:tcBorders>
              <w:bottom w:val="single" w:sz="4" w:space="0" w:color="auto"/>
            </w:tcBorders>
          </w:tcPr>
          <w:p w14:paraId="70709D83" w14:textId="77777777" w:rsidR="00AC4246" w:rsidRPr="00CC0D73" w:rsidRDefault="00AC4246" w:rsidP="00B016E9">
            <w:pPr>
              <w:jc w:val="right"/>
              <w:rPr>
                <w:rFonts w:ascii="Times New Roman" w:hAnsi="Times New Roman" w:cs="Times New Roman"/>
              </w:rPr>
            </w:pPr>
            <w:r>
              <w:rPr>
                <w:rFonts w:ascii="Times New Roman" w:hAnsi="Times New Roman" w:cs="Times New Roman"/>
              </w:rPr>
              <w:t>13.9</w:t>
            </w:r>
          </w:p>
        </w:tc>
      </w:tr>
    </w:tbl>
    <w:p w14:paraId="57217483" w14:textId="77777777" w:rsidR="00D43EB5" w:rsidRDefault="00D43EB5" w:rsidP="00AC4246">
      <w:pPr>
        <w:ind w:firstLine="720"/>
        <w:jc w:val="both"/>
        <w:rPr>
          <w:rFonts w:ascii="Times New Roman" w:hAnsi="Times New Roman" w:cs="Times New Roman"/>
          <w:i/>
          <w:iCs/>
        </w:rPr>
      </w:pPr>
    </w:p>
    <w:p w14:paraId="7FC1DBE6" w14:textId="07F1C45C" w:rsidR="00AC4246" w:rsidRPr="00B016E9" w:rsidRDefault="00AC4246" w:rsidP="00AC4246">
      <w:pPr>
        <w:ind w:firstLine="720"/>
        <w:jc w:val="both"/>
        <w:rPr>
          <w:rFonts w:ascii="Times New Roman" w:hAnsi="Times New Roman"/>
        </w:rPr>
      </w:pPr>
      <w:r>
        <w:rPr>
          <w:rFonts w:ascii="Times New Roman" w:hAnsi="Times New Roman"/>
        </w:rPr>
        <w:t>We vary these compositional parameters independently as well as all together to understand the</w:t>
      </w:r>
      <w:r w:rsidR="008D4EA7">
        <w:rPr>
          <w:rFonts w:ascii="Times New Roman" w:hAnsi="Times New Roman"/>
        </w:rPr>
        <w:t>ir</w:t>
      </w:r>
      <w:r>
        <w:rPr>
          <w:rFonts w:ascii="Times New Roman" w:hAnsi="Times New Roman"/>
        </w:rPr>
        <w:t xml:space="preserve"> influence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_Ref127449371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 xml:space="preserve">Table </w:t>
      </w:r>
      <w:r w:rsidR="003C7931">
        <w:rPr>
          <w:rFonts w:ascii="Times New Roman" w:hAnsi="Times New Roman" w:cs="Times New Roman"/>
          <w:color w:val="000000" w:themeColor="text1"/>
        </w:rPr>
        <w:t>S</w:t>
      </w:r>
      <w:r w:rsidR="00D43EB5" w:rsidRPr="00D43EB5">
        <w:rPr>
          <w:rFonts w:ascii="Times New Roman" w:hAnsi="Times New Roman" w:cs="Times New Roman"/>
          <w:noProof/>
          <w:color w:val="000000" w:themeColor="text1"/>
        </w:rPr>
        <w:t>6</w:t>
      </w:r>
      <w:r w:rsidR="00D43EB5" w:rsidRPr="00D43EB5">
        <w:rPr>
          <w:rFonts w:ascii="Times New Roman" w:hAnsi="Times New Roman" w:cs="Times New Roman"/>
        </w:rPr>
        <w:fldChar w:fldCharType="end"/>
      </w:r>
      <w:r w:rsidR="00D43EB5">
        <w:rPr>
          <w:rFonts w:ascii="Times New Roman" w:hAnsi="Times New Roman" w:cs="Times New Roman"/>
        </w:rPr>
        <w:t xml:space="preserve"> and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_Ref127449382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Figure S</w:t>
      </w:r>
      <w:r w:rsidR="00D43EB5" w:rsidRPr="00D43EB5">
        <w:rPr>
          <w:rFonts w:ascii="Times New Roman" w:hAnsi="Times New Roman" w:cs="Times New Roman"/>
          <w:noProof/>
          <w:color w:val="000000" w:themeColor="text1"/>
        </w:rPr>
        <w:t>17</w:t>
      </w:r>
      <w:r w:rsidR="00D43EB5" w:rsidRPr="00D43EB5">
        <w:rPr>
          <w:rFonts w:ascii="Times New Roman" w:hAnsi="Times New Roman" w:cs="Times New Roman"/>
        </w:rPr>
        <w:fldChar w:fldCharType="end"/>
      </w:r>
      <w:r>
        <w:rPr>
          <w:rFonts w:ascii="Times New Roman" w:hAnsi="Times New Roman"/>
        </w:rPr>
        <w:t xml:space="preserve">). Varying anhydrous melt composition only effects </w:t>
      </w:r>
      <w:proofErr w:type="spellStart"/>
      <w:r>
        <w:rPr>
          <w:rFonts w:ascii="Times New Roman" w:hAnsi="Times New Roman"/>
        </w:rPr>
        <w:t>sulfide</w:t>
      </w:r>
      <w:proofErr w:type="spellEnd"/>
      <w:r>
        <w:rPr>
          <w:rFonts w:ascii="Times New Roman" w:hAnsi="Times New Roman"/>
        </w:rPr>
        <w:t xml:space="preserve"> and </w:t>
      </w:r>
      <w:proofErr w:type="spellStart"/>
      <w:r>
        <w:rPr>
          <w:rFonts w:ascii="Times New Roman" w:hAnsi="Times New Roman"/>
        </w:rPr>
        <w:t>sulfate</w:t>
      </w:r>
      <w:proofErr w:type="spellEnd"/>
      <w:r>
        <w:rPr>
          <w:rFonts w:ascii="Times New Roman" w:hAnsi="Times New Roman"/>
        </w:rPr>
        <w:t xml:space="preserve"> capacities and converting Fe</w:t>
      </w:r>
      <w:r w:rsidRPr="00B016E9">
        <w:rPr>
          <w:rFonts w:ascii="Times New Roman" w:hAnsi="Times New Roman"/>
          <w:vertAlign w:val="superscript"/>
        </w:rPr>
        <w:t>3+</w:t>
      </w:r>
      <w:r>
        <w:rPr>
          <w:rFonts w:ascii="Times New Roman" w:hAnsi="Times New Roman"/>
        </w:rPr>
        <w:t>/</w:t>
      </w:r>
      <w:proofErr w:type="spellStart"/>
      <w:r>
        <w:rPr>
          <w:rFonts w:ascii="Times New Roman" w:hAnsi="Times New Roman"/>
        </w:rPr>
        <w:t>Fe</w:t>
      </w:r>
      <w:r w:rsidRPr="00B016E9">
        <w:rPr>
          <w:rFonts w:ascii="Times New Roman" w:hAnsi="Times New Roman"/>
          <w:vertAlign w:val="subscript"/>
        </w:rPr>
        <w:t>T</w:t>
      </w:r>
      <w:proofErr w:type="spellEnd"/>
      <w:r>
        <w:rPr>
          <w:rFonts w:ascii="Times New Roman" w:hAnsi="Times New Roman"/>
        </w:rPr>
        <w:t xml:space="preserve"> to </w:t>
      </w:r>
      <w:r w:rsidRPr="00B016E9">
        <w:rPr>
          <w:rFonts w:ascii="Times New Roman" w:hAnsi="Times New Roman"/>
          <w:i/>
          <w:iCs/>
        </w:rPr>
        <w:t>f</w:t>
      </w:r>
      <w:r w:rsidRPr="00B016E9">
        <w:rPr>
          <w:rFonts w:ascii="Times New Roman" w:hAnsi="Times New Roman"/>
          <w:vertAlign w:val="subscript"/>
        </w:rPr>
        <w:t>O2</w:t>
      </w:r>
      <w:r>
        <w:rPr>
          <w:rFonts w:ascii="Times New Roman" w:hAnsi="Times New Roman"/>
        </w:rPr>
        <w:t xml:space="preserve">: therefore, it has essentially no effect on </w:t>
      </w:r>
      <w:proofErr w:type="spellStart"/>
      <w:r w:rsidRPr="00B016E9">
        <w:rPr>
          <w:rFonts w:ascii="Times New Roman" w:hAnsi="Times New Roman"/>
          <w:i/>
          <w:iCs/>
        </w:rPr>
        <w:t>P</w:t>
      </w:r>
      <w:r w:rsidRPr="00B016E9">
        <w:rPr>
          <w:rFonts w:ascii="Times New Roman" w:hAnsi="Times New Roman"/>
          <w:i/>
          <w:iCs/>
          <w:vertAlign w:val="superscript"/>
        </w:rPr>
        <w:t>v</w:t>
      </w:r>
      <w:r w:rsidRPr="00B016E9">
        <w:rPr>
          <w:rFonts w:ascii="Times New Roman" w:hAnsi="Times New Roman"/>
          <w:vertAlign w:val="subscript"/>
        </w:rPr>
        <w:t>sat</w:t>
      </w:r>
      <w:proofErr w:type="spellEnd"/>
      <w:r>
        <w:rPr>
          <w:rFonts w:ascii="Times New Roman" w:hAnsi="Times New Roman"/>
        </w:rPr>
        <w:t xml:space="preserve"> or </w:t>
      </w:r>
      <w:r w:rsidRPr="00B016E9">
        <w:rPr>
          <w:rFonts w:ascii="Times New Roman" w:hAnsi="Times New Roman"/>
          <w:i/>
          <w:iCs/>
        </w:rPr>
        <w:t>f</w:t>
      </w:r>
      <w:r w:rsidRPr="00B016E9">
        <w:rPr>
          <w:rFonts w:ascii="Times New Roman" w:hAnsi="Times New Roman"/>
          <w:vertAlign w:val="subscript"/>
        </w:rPr>
        <w:t>O2</w:t>
      </w:r>
      <w:r>
        <w:rPr>
          <w:rFonts w:ascii="Times New Roman" w:hAnsi="Times New Roman"/>
        </w:rPr>
        <w:t xml:space="preserve">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_Ref127449382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Figure S</w:t>
      </w:r>
      <w:r w:rsidR="00D43EB5" w:rsidRPr="00D43EB5">
        <w:rPr>
          <w:rFonts w:ascii="Times New Roman" w:hAnsi="Times New Roman" w:cs="Times New Roman"/>
          <w:noProof/>
          <w:color w:val="000000" w:themeColor="text1"/>
        </w:rPr>
        <w:t>17</w:t>
      </w:r>
      <w:r w:rsidR="00D43EB5" w:rsidRPr="00D43EB5">
        <w:rPr>
          <w:rFonts w:ascii="Times New Roman" w:hAnsi="Times New Roman" w:cs="Times New Roman"/>
        </w:rPr>
        <w:fldChar w:fldCharType="end"/>
      </w:r>
      <w:r w:rsidR="00D43EB5">
        <w:rPr>
          <w:rFonts w:ascii="Times New Roman" w:hAnsi="Times New Roman" w:cs="Times New Roman"/>
        </w:rPr>
        <w:t>a</w:t>
      </w:r>
      <w:r>
        <w:rPr>
          <w:rFonts w:ascii="Times New Roman" w:hAnsi="Times New Roman"/>
        </w:rPr>
        <w:t>). Varying Fe</w:t>
      </w:r>
      <w:r w:rsidRPr="00B016E9">
        <w:rPr>
          <w:rFonts w:ascii="Times New Roman" w:hAnsi="Times New Roman"/>
          <w:vertAlign w:val="superscript"/>
        </w:rPr>
        <w:t>3+</w:t>
      </w:r>
      <w:r>
        <w:rPr>
          <w:rFonts w:ascii="Times New Roman" w:hAnsi="Times New Roman"/>
        </w:rPr>
        <w:t>/</w:t>
      </w:r>
      <w:proofErr w:type="spellStart"/>
      <w:r>
        <w:rPr>
          <w:rFonts w:ascii="Times New Roman" w:hAnsi="Times New Roman"/>
        </w:rPr>
        <w:t>Fe</w:t>
      </w:r>
      <w:r w:rsidRPr="00B016E9">
        <w:rPr>
          <w:rFonts w:ascii="Times New Roman" w:hAnsi="Times New Roman"/>
          <w:vertAlign w:val="subscript"/>
        </w:rPr>
        <w:t>T</w:t>
      </w:r>
      <w:proofErr w:type="spellEnd"/>
      <w:r>
        <w:rPr>
          <w:rFonts w:ascii="Times New Roman" w:hAnsi="Times New Roman"/>
        </w:rPr>
        <w:t xml:space="preserve"> has no effect on </w:t>
      </w:r>
      <w:proofErr w:type="spellStart"/>
      <w:r w:rsidRPr="005D1431">
        <w:rPr>
          <w:rFonts w:ascii="Times New Roman" w:hAnsi="Times New Roman"/>
          <w:i/>
          <w:iCs/>
        </w:rPr>
        <w:t>P</w:t>
      </w:r>
      <w:r w:rsidRPr="005D1431">
        <w:rPr>
          <w:rFonts w:ascii="Times New Roman" w:hAnsi="Times New Roman"/>
          <w:i/>
          <w:iCs/>
          <w:vertAlign w:val="superscript"/>
        </w:rPr>
        <w:t>v</w:t>
      </w:r>
      <w:r w:rsidRPr="005D1431">
        <w:rPr>
          <w:rFonts w:ascii="Times New Roman" w:hAnsi="Times New Roman"/>
          <w:vertAlign w:val="subscript"/>
        </w:rPr>
        <w:t>sat</w:t>
      </w:r>
      <w:proofErr w:type="spellEnd"/>
      <w:r>
        <w:rPr>
          <w:rFonts w:ascii="Times New Roman" w:hAnsi="Times New Roman"/>
        </w:rPr>
        <w:t xml:space="preserve"> and a small effect on </w:t>
      </w:r>
      <w:r w:rsidRPr="005D1431">
        <w:rPr>
          <w:rFonts w:ascii="Times New Roman" w:hAnsi="Times New Roman"/>
          <w:i/>
          <w:iCs/>
        </w:rPr>
        <w:t>f</w:t>
      </w:r>
      <w:r w:rsidRPr="005D1431">
        <w:rPr>
          <w:rFonts w:ascii="Times New Roman" w:hAnsi="Times New Roman"/>
          <w:vertAlign w:val="subscript"/>
        </w:rPr>
        <w:t>O2</w:t>
      </w:r>
      <w:r>
        <w:rPr>
          <w:rFonts w:ascii="Times New Roman" w:hAnsi="Times New Roman"/>
        </w:rPr>
        <w:t xml:space="preserve">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_Ref127449382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Figure S</w:t>
      </w:r>
      <w:r w:rsidR="00D43EB5" w:rsidRPr="00D43EB5">
        <w:rPr>
          <w:rFonts w:ascii="Times New Roman" w:hAnsi="Times New Roman" w:cs="Times New Roman"/>
          <w:noProof/>
          <w:color w:val="000000" w:themeColor="text1"/>
        </w:rPr>
        <w:t>17</w:t>
      </w:r>
      <w:r w:rsidR="00D43EB5" w:rsidRPr="00D43EB5">
        <w:rPr>
          <w:rFonts w:ascii="Times New Roman" w:hAnsi="Times New Roman" w:cs="Times New Roman"/>
        </w:rPr>
        <w:fldChar w:fldCharType="end"/>
      </w:r>
      <w:r w:rsidR="00D43EB5">
        <w:rPr>
          <w:rFonts w:ascii="Times New Roman" w:hAnsi="Times New Roman" w:cs="Times New Roman"/>
        </w:rPr>
        <w:t>b</w:t>
      </w:r>
      <w:r>
        <w:rPr>
          <w:rFonts w:ascii="Times New Roman" w:hAnsi="Times New Roman"/>
        </w:rPr>
        <w:t>). Varying H</w:t>
      </w:r>
      <w:r w:rsidRPr="00B016E9">
        <w:rPr>
          <w:rFonts w:ascii="Times New Roman" w:hAnsi="Times New Roman"/>
          <w:vertAlign w:val="subscript"/>
        </w:rPr>
        <w:t>2</w:t>
      </w:r>
      <w:r>
        <w:rPr>
          <w:rFonts w:ascii="Times New Roman" w:hAnsi="Times New Roman"/>
        </w:rPr>
        <w:t>O-eq and CO</w:t>
      </w:r>
      <w:r w:rsidRPr="00B016E9">
        <w:rPr>
          <w:rFonts w:ascii="Times New Roman" w:hAnsi="Times New Roman"/>
          <w:vertAlign w:val="subscript"/>
        </w:rPr>
        <w:t>2</w:t>
      </w:r>
      <w:r>
        <w:rPr>
          <w:rFonts w:ascii="Times New Roman" w:hAnsi="Times New Roman"/>
        </w:rPr>
        <w:t xml:space="preserve">-eq have a large effect on </w:t>
      </w:r>
      <w:proofErr w:type="spellStart"/>
      <w:r w:rsidRPr="005D1431">
        <w:rPr>
          <w:rFonts w:ascii="Times New Roman" w:hAnsi="Times New Roman"/>
          <w:i/>
          <w:iCs/>
        </w:rPr>
        <w:t>P</w:t>
      </w:r>
      <w:r w:rsidRPr="005D1431">
        <w:rPr>
          <w:rFonts w:ascii="Times New Roman" w:hAnsi="Times New Roman"/>
          <w:i/>
          <w:iCs/>
          <w:vertAlign w:val="superscript"/>
        </w:rPr>
        <w:t>v</w:t>
      </w:r>
      <w:r w:rsidRPr="005D1431">
        <w:rPr>
          <w:rFonts w:ascii="Times New Roman" w:hAnsi="Times New Roman"/>
          <w:vertAlign w:val="subscript"/>
        </w:rPr>
        <w:t>sat</w:t>
      </w:r>
      <w:proofErr w:type="spellEnd"/>
      <w:r>
        <w:rPr>
          <w:rFonts w:ascii="Times New Roman" w:hAnsi="Times New Roman"/>
        </w:rPr>
        <w:t>, whilst S-</w:t>
      </w:r>
      <w:proofErr w:type="spellStart"/>
      <w:r>
        <w:rPr>
          <w:rFonts w:ascii="Times New Roman" w:hAnsi="Times New Roman"/>
        </w:rPr>
        <w:t>eq</w:t>
      </w:r>
      <w:proofErr w:type="spellEnd"/>
      <w:r>
        <w:rPr>
          <w:rFonts w:ascii="Times New Roman" w:hAnsi="Times New Roman"/>
        </w:rPr>
        <w:t xml:space="preserve"> as essentially no effect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_Ref127449382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Figure S</w:t>
      </w:r>
      <w:r w:rsidR="00D43EB5" w:rsidRPr="00D43EB5">
        <w:rPr>
          <w:rFonts w:ascii="Times New Roman" w:hAnsi="Times New Roman" w:cs="Times New Roman"/>
          <w:noProof/>
          <w:color w:val="000000" w:themeColor="text1"/>
        </w:rPr>
        <w:t>17</w:t>
      </w:r>
      <w:r w:rsidR="00D43EB5" w:rsidRPr="00D43EB5">
        <w:rPr>
          <w:rFonts w:ascii="Times New Roman" w:hAnsi="Times New Roman" w:cs="Times New Roman"/>
        </w:rPr>
        <w:fldChar w:fldCharType="end"/>
      </w:r>
      <w:r w:rsidR="00D43EB5">
        <w:rPr>
          <w:rFonts w:ascii="Times New Roman" w:hAnsi="Times New Roman" w:cs="Times New Roman"/>
        </w:rPr>
        <w:t>c</w:t>
      </w:r>
      <w:r>
        <w:rPr>
          <w:rFonts w:ascii="Times New Roman" w:hAnsi="Times New Roman"/>
        </w:rPr>
        <w:t xml:space="preserve">). Varying all measured parameters highlights </w:t>
      </w:r>
      <w:proofErr w:type="gramStart"/>
      <w:r>
        <w:rPr>
          <w:rFonts w:ascii="Times New Roman" w:hAnsi="Times New Roman"/>
        </w:rPr>
        <w:t>that errors</w:t>
      </w:r>
      <w:proofErr w:type="gramEnd"/>
      <w:r>
        <w:rPr>
          <w:rFonts w:ascii="Times New Roman" w:hAnsi="Times New Roman"/>
        </w:rPr>
        <w:t xml:space="preserve"> in the composition (primarily CO</w:t>
      </w:r>
      <w:r w:rsidRPr="00E448C1">
        <w:rPr>
          <w:rFonts w:ascii="Times New Roman" w:hAnsi="Times New Roman"/>
          <w:vertAlign w:val="subscript"/>
        </w:rPr>
        <w:t>2</w:t>
      </w:r>
      <w:r>
        <w:rPr>
          <w:rFonts w:ascii="Times New Roman" w:hAnsi="Times New Roman"/>
        </w:rPr>
        <w:t>-eq and H</w:t>
      </w:r>
      <w:r w:rsidRPr="00E448C1">
        <w:rPr>
          <w:rFonts w:ascii="Times New Roman" w:hAnsi="Times New Roman"/>
          <w:vertAlign w:val="subscript"/>
        </w:rPr>
        <w:t>2</w:t>
      </w:r>
      <w:r>
        <w:rPr>
          <w:rFonts w:ascii="Times New Roman" w:hAnsi="Times New Roman"/>
        </w:rPr>
        <w:t xml:space="preserve">O-eq) have a large effect on </w:t>
      </w:r>
      <w:proofErr w:type="spellStart"/>
      <w:r w:rsidRPr="005D1431">
        <w:rPr>
          <w:rFonts w:ascii="Times New Roman" w:hAnsi="Times New Roman"/>
          <w:i/>
          <w:iCs/>
        </w:rPr>
        <w:t>P</w:t>
      </w:r>
      <w:r w:rsidRPr="005D1431">
        <w:rPr>
          <w:rFonts w:ascii="Times New Roman" w:hAnsi="Times New Roman"/>
          <w:i/>
          <w:iCs/>
          <w:vertAlign w:val="superscript"/>
        </w:rPr>
        <w:t>v</w:t>
      </w:r>
      <w:r w:rsidRPr="005D1431">
        <w:rPr>
          <w:rFonts w:ascii="Times New Roman" w:hAnsi="Times New Roman"/>
          <w:vertAlign w:val="subscript"/>
        </w:rPr>
        <w:t>sat</w:t>
      </w:r>
      <w:proofErr w:type="spellEnd"/>
      <w:r>
        <w:rPr>
          <w:rFonts w:ascii="Times New Roman" w:hAnsi="Times New Roman"/>
        </w:rPr>
        <w:t xml:space="preserve"> </w:t>
      </w:r>
      <w:r w:rsidR="00F93C27">
        <w:rPr>
          <w:rFonts w:ascii="Times New Roman" w:hAnsi="Times New Roman"/>
        </w:rPr>
        <w:t>and</w:t>
      </w:r>
      <w:r>
        <w:rPr>
          <w:rFonts w:ascii="Times New Roman" w:hAnsi="Times New Roman"/>
        </w:rPr>
        <w:t xml:space="preserve"> </w:t>
      </w:r>
      <w:r w:rsidRPr="005D1431">
        <w:rPr>
          <w:rFonts w:ascii="Times New Roman" w:hAnsi="Times New Roman"/>
          <w:i/>
          <w:iCs/>
        </w:rPr>
        <w:t>f</w:t>
      </w:r>
      <w:r w:rsidRPr="005D1431">
        <w:rPr>
          <w:rFonts w:ascii="Times New Roman" w:hAnsi="Times New Roman"/>
          <w:vertAlign w:val="subscript"/>
        </w:rPr>
        <w:t>O2</w:t>
      </w:r>
      <w:r w:rsidR="00F93C27">
        <w:rPr>
          <w:rFonts w:ascii="Times New Roman" w:hAnsi="Times New Roman"/>
        </w:rPr>
        <w:t xml:space="preserve">, </w:t>
      </w:r>
      <w:r>
        <w:rPr>
          <w:rFonts w:ascii="Times New Roman" w:hAnsi="Times New Roman"/>
        </w:rPr>
        <w:t xml:space="preserve">and these are more important than the effects of </w:t>
      </w:r>
      <w:r w:rsidRPr="005D1431">
        <w:rPr>
          <w:rFonts w:ascii="Times New Roman" w:hAnsi="Times New Roman"/>
          <w:i/>
          <w:iCs/>
        </w:rPr>
        <w:t>f</w:t>
      </w:r>
      <w:r w:rsidRPr="005D1431">
        <w:rPr>
          <w:rFonts w:ascii="Times New Roman" w:hAnsi="Times New Roman"/>
          <w:vertAlign w:val="subscript"/>
        </w:rPr>
        <w:t>O2</w:t>
      </w:r>
      <w:r>
        <w:rPr>
          <w:rFonts w:ascii="Times New Roman" w:hAnsi="Times New Roman"/>
        </w:rPr>
        <w:t xml:space="preserve"> and S (</w:t>
      </w:r>
      <w:r w:rsidR="00D43EB5" w:rsidRPr="00D43EB5">
        <w:rPr>
          <w:rFonts w:ascii="Times New Roman" w:hAnsi="Times New Roman" w:cs="Times New Roman"/>
        </w:rPr>
        <w:fldChar w:fldCharType="begin"/>
      </w:r>
      <w:r w:rsidR="00D43EB5" w:rsidRPr="00D43EB5">
        <w:rPr>
          <w:rFonts w:ascii="Times New Roman" w:hAnsi="Times New Roman" w:cs="Times New Roman"/>
        </w:rPr>
        <w:instrText xml:space="preserve"> REF _Ref127449382 \h </w:instrText>
      </w:r>
      <w:r w:rsidR="00D43EB5">
        <w:rPr>
          <w:rFonts w:ascii="Times New Roman" w:hAnsi="Times New Roman" w:cs="Times New Roman"/>
        </w:rPr>
        <w:instrText xml:space="preserve"> \* MERGEFORMAT </w:instrText>
      </w:r>
      <w:r w:rsidR="00D43EB5" w:rsidRPr="00D43EB5">
        <w:rPr>
          <w:rFonts w:ascii="Times New Roman" w:hAnsi="Times New Roman" w:cs="Times New Roman"/>
        </w:rPr>
      </w:r>
      <w:r w:rsidR="00D43EB5" w:rsidRPr="00D43EB5">
        <w:rPr>
          <w:rFonts w:ascii="Times New Roman" w:hAnsi="Times New Roman" w:cs="Times New Roman"/>
        </w:rPr>
        <w:fldChar w:fldCharType="separate"/>
      </w:r>
      <w:r w:rsidR="00D43EB5" w:rsidRPr="00D43EB5">
        <w:rPr>
          <w:rFonts w:ascii="Times New Roman" w:hAnsi="Times New Roman" w:cs="Times New Roman"/>
          <w:color w:val="000000" w:themeColor="text1"/>
        </w:rPr>
        <w:t>Figure S</w:t>
      </w:r>
      <w:r w:rsidR="00D43EB5" w:rsidRPr="00D43EB5">
        <w:rPr>
          <w:rFonts w:ascii="Times New Roman" w:hAnsi="Times New Roman" w:cs="Times New Roman"/>
          <w:noProof/>
          <w:color w:val="000000" w:themeColor="text1"/>
        </w:rPr>
        <w:t>17</w:t>
      </w:r>
      <w:r w:rsidR="00D43EB5" w:rsidRPr="00D43EB5">
        <w:rPr>
          <w:rFonts w:ascii="Times New Roman" w:hAnsi="Times New Roman" w:cs="Times New Roman"/>
        </w:rPr>
        <w:fldChar w:fldCharType="end"/>
      </w:r>
      <w:r w:rsidR="00D43EB5">
        <w:rPr>
          <w:rFonts w:ascii="Times New Roman" w:hAnsi="Times New Roman" w:cs="Times New Roman"/>
        </w:rPr>
        <w:t>d</w:t>
      </w:r>
      <w:r>
        <w:rPr>
          <w:rFonts w:ascii="Times New Roman" w:hAnsi="Times New Roman"/>
        </w:rPr>
        <w:t>).</w:t>
      </w:r>
    </w:p>
    <w:p w14:paraId="4B1DF2FA" w14:textId="77777777" w:rsidR="00AC4246" w:rsidRPr="00A137C7" w:rsidRDefault="00AC4246" w:rsidP="00AC4246">
      <w:pPr>
        <w:jc w:val="both"/>
        <w:rPr>
          <w:rFonts w:ascii="Times New Roman" w:hAnsi="Times New Roman"/>
        </w:rPr>
      </w:pPr>
    </w:p>
    <w:p w14:paraId="56FF345D" w14:textId="77777777" w:rsidR="00AC4246" w:rsidRDefault="00AC4246" w:rsidP="00AC4246">
      <w:pPr>
        <w:keepNext/>
      </w:pPr>
      <w:r>
        <w:rPr>
          <w:noProof/>
        </w:rPr>
        <w:drawing>
          <wp:inline distT="0" distB="0" distL="0" distR="0" wp14:anchorId="3A5ABC2E" wp14:editId="45F216B0">
            <wp:extent cx="5731200" cy="3618392"/>
            <wp:effectExtent l="0" t="0" r="0" b="1270"/>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rotWithShape="1">
                    <a:blip r:embed="rId25">
                      <a:extLst>
                        <a:ext uri="{28A0092B-C50C-407E-A947-70E740481C1C}">
                          <a14:useLocalDpi xmlns:a14="http://schemas.microsoft.com/office/drawing/2010/main" val="0"/>
                        </a:ext>
                      </a:extLst>
                    </a:blip>
                    <a:srcRect l="1994" t="12346" r="6404" b="5034"/>
                    <a:stretch/>
                  </pic:blipFill>
                  <pic:spPr bwMode="auto">
                    <a:xfrm>
                      <a:off x="0" y="0"/>
                      <a:ext cx="5731200" cy="3618392"/>
                    </a:xfrm>
                    <a:prstGeom prst="rect">
                      <a:avLst/>
                    </a:prstGeom>
                    <a:ln>
                      <a:noFill/>
                    </a:ln>
                    <a:extLst>
                      <a:ext uri="{53640926-AAD7-44D8-BBD7-CCE9431645EC}">
                        <a14:shadowObscured xmlns:a14="http://schemas.microsoft.com/office/drawing/2010/main"/>
                      </a:ext>
                    </a:extLst>
                  </pic:spPr>
                </pic:pic>
              </a:graphicData>
            </a:graphic>
          </wp:inline>
        </w:drawing>
      </w:r>
    </w:p>
    <w:p w14:paraId="1788C1EF" w14:textId="4CD8FD53" w:rsidR="00AC4246" w:rsidRPr="00884265" w:rsidRDefault="00AC4246" w:rsidP="00AC4246">
      <w:pPr>
        <w:pStyle w:val="Caption"/>
        <w:ind w:firstLine="0"/>
        <w:rPr>
          <w:i w:val="0"/>
          <w:iCs w:val="0"/>
          <w:color w:val="000000" w:themeColor="text1"/>
          <w:sz w:val="24"/>
          <w:szCs w:val="24"/>
        </w:rPr>
      </w:pPr>
      <w:bookmarkStart w:id="37" w:name="_Ref127449382"/>
      <w:r w:rsidRPr="00E448C1">
        <w:rPr>
          <w:color w:val="000000" w:themeColor="text1"/>
          <w:sz w:val="24"/>
          <w:szCs w:val="24"/>
        </w:rPr>
        <w:t>Figure S</w:t>
      </w:r>
      <w:r w:rsidRPr="00E448C1">
        <w:rPr>
          <w:color w:val="000000" w:themeColor="text1"/>
          <w:sz w:val="24"/>
          <w:szCs w:val="24"/>
        </w:rPr>
        <w:fldChar w:fldCharType="begin"/>
      </w:r>
      <w:r w:rsidRPr="00E448C1">
        <w:rPr>
          <w:color w:val="000000" w:themeColor="text1"/>
          <w:sz w:val="24"/>
          <w:szCs w:val="24"/>
        </w:rPr>
        <w:instrText xml:space="preserve"> SEQ Figure \* ARABIC </w:instrText>
      </w:r>
      <w:r w:rsidRPr="00E448C1">
        <w:rPr>
          <w:color w:val="000000" w:themeColor="text1"/>
          <w:sz w:val="24"/>
          <w:szCs w:val="24"/>
        </w:rPr>
        <w:fldChar w:fldCharType="separate"/>
      </w:r>
      <w:r w:rsidR="009E5695">
        <w:rPr>
          <w:noProof/>
          <w:color w:val="000000" w:themeColor="text1"/>
          <w:sz w:val="24"/>
          <w:szCs w:val="24"/>
        </w:rPr>
        <w:t>17</w:t>
      </w:r>
      <w:r w:rsidRPr="00E448C1">
        <w:rPr>
          <w:color w:val="000000" w:themeColor="text1"/>
          <w:sz w:val="24"/>
          <w:szCs w:val="24"/>
        </w:rPr>
        <w:fldChar w:fldCharType="end"/>
      </w:r>
      <w:bookmarkEnd w:id="37"/>
      <w:r w:rsidRPr="00E448C1">
        <w:rPr>
          <w:i w:val="0"/>
          <w:iCs w:val="0"/>
          <w:color w:val="000000" w:themeColor="text1"/>
          <w:sz w:val="24"/>
          <w:szCs w:val="24"/>
        </w:rPr>
        <w:t xml:space="preserve"> Pressure of vapor saturation (</w:t>
      </w:r>
      <w:proofErr w:type="spellStart"/>
      <w:r w:rsidRPr="00E448C1">
        <w:rPr>
          <w:color w:val="000000" w:themeColor="text1"/>
          <w:sz w:val="24"/>
          <w:szCs w:val="24"/>
        </w:rPr>
        <w:t>P</w:t>
      </w:r>
      <w:r w:rsidRPr="00E448C1">
        <w:rPr>
          <w:color w:val="000000" w:themeColor="text1"/>
          <w:sz w:val="24"/>
          <w:szCs w:val="24"/>
          <w:vertAlign w:val="superscript"/>
        </w:rPr>
        <w:t>v</w:t>
      </w:r>
      <w:r w:rsidRPr="00E448C1">
        <w:rPr>
          <w:i w:val="0"/>
          <w:iCs w:val="0"/>
          <w:color w:val="000000" w:themeColor="text1"/>
          <w:sz w:val="24"/>
          <w:szCs w:val="24"/>
          <w:vertAlign w:val="subscript"/>
        </w:rPr>
        <w:t>sat</w:t>
      </w:r>
      <w:proofErr w:type="spellEnd"/>
      <w:r w:rsidRPr="00E448C1">
        <w:rPr>
          <w:i w:val="0"/>
          <w:iCs w:val="0"/>
          <w:color w:val="000000" w:themeColor="text1"/>
          <w:sz w:val="24"/>
          <w:szCs w:val="24"/>
        </w:rPr>
        <w:t>) against oxygen fugacity (</w:t>
      </w:r>
      <w:r w:rsidRPr="00E448C1">
        <w:rPr>
          <w:color w:val="000000" w:themeColor="text1"/>
          <w:sz w:val="24"/>
          <w:szCs w:val="24"/>
        </w:rPr>
        <w:t>f</w:t>
      </w:r>
      <w:r w:rsidRPr="00E448C1">
        <w:rPr>
          <w:i w:val="0"/>
          <w:iCs w:val="0"/>
          <w:color w:val="000000" w:themeColor="text1"/>
          <w:sz w:val="24"/>
          <w:szCs w:val="24"/>
          <w:vertAlign w:val="subscript"/>
        </w:rPr>
        <w:t>O2</w:t>
      </w:r>
      <w:r w:rsidRPr="00E448C1">
        <w:rPr>
          <w:i w:val="0"/>
          <w:iCs w:val="0"/>
          <w:color w:val="000000" w:themeColor="text1"/>
          <w:sz w:val="24"/>
          <w:szCs w:val="24"/>
        </w:rPr>
        <w:t xml:space="preserve">), where different aspects of the melt composition have been varied within defined errors 100 times (see text for details). </w:t>
      </w:r>
      <w:r w:rsidRPr="00E448C1">
        <w:rPr>
          <w:b/>
          <w:bCs/>
          <w:i w:val="0"/>
          <w:iCs w:val="0"/>
          <w:color w:val="000000" w:themeColor="text1"/>
          <w:sz w:val="24"/>
          <w:szCs w:val="24"/>
        </w:rPr>
        <w:t>(a–c)</w:t>
      </w:r>
      <w:r w:rsidRPr="00E448C1">
        <w:rPr>
          <w:i w:val="0"/>
          <w:iCs w:val="0"/>
          <w:color w:val="000000" w:themeColor="text1"/>
          <w:sz w:val="24"/>
          <w:szCs w:val="24"/>
        </w:rPr>
        <w:t xml:space="preserve"> At the maximum in </w:t>
      </w:r>
      <w:proofErr w:type="spellStart"/>
      <w:r w:rsidRPr="00E448C1">
        <w:rPr>
          <w:color w:val="000000" w:themeColor="text1"/>
          <w:sz w:val="24"/>
          <w:szCs w:val="24"/>
        </w:rPr>
        <w:t>P</w:t>
      </w:r>
      <w:r w:rsidR="00D43EB5">
        <w:rPr>
          <w:color w:val="000000" w:themeColor="text1"/>
          <w:sz w:val="24"/>
          <w:szCs w:val="24"/>
          <w:vertAlign w:val="superscript"/>
        </w:rPr>
        <w:t>v</w:t>
      </w:r>
      <w:r w:rsidRPr="00E448C1">
        <w:rPr>
          <w:i w:val="0"/>
          <w:iCs w:val="0"/>
          <w:color w:val="000000" w:themeColor="text1"/>
          <w:sz w:val="24"/>
          <w:szCs w:val="24"/>
          <w:vertAlign w:val="subscript"/>
        </w:rPr>
        <w:t>sat</w:t>
      </w:r>
      <w:proofErr w:type="spellEnd"/>
      <w:r w:rsidRPr="00884265">
        <w:rPr>
          <w:i w:val="0"/>
          <w:iCs w:val="0"/>
          <w:color w:val="000000" w:themeColor="text1"/>
          <w:sz w:val="24"/>
          <w:szCs w:val="24"/>
        </w:rPr>
        <w:t xml:space="preserve"> (</w:t>
      </w:r>
      <w:r w:rsidRPr="00E448C1">
        <w:rPr>
          <w:i w:val="0"/>
          <w:iCs w:val="0"/>
          <w:color w:val="000000" w:themeColor="text1"/>
          <w:sz w:val="24"/>
          <w:szCs w:val="24"/>
        </w:rPr>
        <w:t>Δ</w:t>
      </w:r>
      <w:r>
        <w:rPr>
          <w:i w:val="0"/>
          <w:iCs w:val="0"/>
          <w:color w:val="000000" w:themeColor="text1"/>
          <w:sz w:val="24"/>
          <w:szCs w:val="24"/>
        </w:rPr>
        <w:t>FMQ+</w:t>
      </w:r>
      <w:r w:rsidRPr="00884265">
        <w:rPr>
          <w:i w:val="0"/>
          <w:iCs w:val="0"/>
          <w:color w:val="000000" w:themeColor="text1"/>
          <w:sz w:val="24"/>
          <w:szCs w:val="24"/>
        </w:rPr>
        <w:t xml:space="preserve">1.19), varying </w:t>
      </w:r>
      <w:r w:rsidRPr="00884265">
        <w:rPr>
          <w:b/>
          <w:bCs/>
          <w:i w:val="0"/>
          <w:iCs w:val="0"/>
          <w:color w:val="000000" w:themeColor="text1"/>
          <w:sz w:val="24"/>
          <w:szCs w:val="24"/>
        </w:rPr>
        <w:t>(a)</w:t>
      </w:r>
      <w:r w:rsidRPr="00884265">
        <w:rPr>
          <w:i w:val="0"/>
          <w:iCs w:val="0"/>
          <w:color w:val="000000" w:themeColor="text1"/>
          <w:sz w:val="24"/>
          <w:szCs w:val="24"/>
        </w:rPr>
        <w:t xml:space="preserve"> anhydrous melt composition; </w:t>
      </w:r>
      <w:r w:rsidRPr="00884265">
        <w:rPr>
          <w:b/>
          <w:bCs/>
          <w:i w:val="0"/>
          <w:iCs w:val="0"/>
          <w:color w:val="000000" w:themeColor="text1"/>
          <w:sz w:val="24"/>
          <w:szCs w:val="24"/>
        </w:rPr>
        <w:t>(b)</w:t>
      </w:r>
      <w:r w:rsidRPr="00884265">
        <w:rPr>
          <w:i w:val="0"/>
          <w:iCs w:val="0"/>
          <w:color w:val="000000" w:themeColor="text1"/>
          <w:sz w:val="24"/>
          <w:szCs w:val="24"/>
        </w:rPr>
        <w:t xml:space="preserve"> Fe</w:t>
      </w:r>
      <w:r w:rsidRPr="00884265">
        <w:rPr>
          <w:i w:val="0"/>
          <w:iCs w:val="0"/>
          <w:color w:val="000000" w:themeColor="text1"/>
          <w:sz w:val="24"/>
          <w:szCs w:val="24"/>
          <w:vertAlign w:val="superscript"/>
        </w:rPr>
        <w:t>3+</w:t>
      </w:r>
      <w:r w:rsidRPr="00884265">
        <w:rPr>
          <w:i w:val="0"/>
          <w:iCs w:val="0"/>
          <w:color w:val="000000" w:themeColor="text1"/>
          <w:sz w:val="24"/>
          <w:szCs w:val="24"/>
        </w:rPr>
        <w:t>/</w:t>
      </w:r>
      <w:proofErr w:type="spellStart"/>
      <w:r w:rsidRPr="00884265">
        <w:rPr>
          <w:i w:val="0"/>
          <w:iCs w:val="0"/>
          <w:color w:val="000000" w:themeColor="text1"/>
          <w:sz w:val="24"/>
          <w:szCs w:val="24"/>
        </w:rPr>
        <w:t>Fe</w:t>
      </w:r>
      <w:r w:rsidRPr="00884265">
        <w:rPr>
          <w:i w:val="0"/>
          <w:iCs w:val="0"/>
          <w:color w:val="000000" w:themeColor="text1"/>
          <w:sz w:val="24"/>
          <w:szCs w:val="24"/>
          <w:vertAlign w:val="subscript"/>
        </w:rPr>
        <w:t>T</w:t>
      </w:r>
      <w:proofErr w:type="spellEnd"/>
      <w:r w:rsidRPr="00884265">
        <w:rPr>
          <w:i w:val="0"/>
          <w:iCs w:val="0"/>
          <w:color w:val="000000" w:themeColor="text1"/>
          <w:sz w:val="24"/>
          <w:szCs w:val="24"/>
        </w:rPr>
        <w:t xml:space="preserve">; and </w:t>
      </w:r>
      <w:r w:rsidRPr="00884265">
        <w:rPr>
          <w:b/>
          <w:bCs/>
          <w:i w:val="0"/>
          <w:iCs w:val="0"/>
          <w:color w:val="000000" w:themeColor="text1"/>
          <w:sz w:val="24"/>
          <w:szCs w:val="24"/>
        </w:rPr>
        <w:t>(c)</w:t>
      </w:r>
      <w:r w:rsidRPr="00884265">
        <w:rPr>
          <w:i w:val="0"/>
          <w:iCs w:val="0"/>
          <w:color w:val="000000" w:themeColor="text1"/>
          <w:sz w:val="24"/>
          <w:szCs w:val="24"/>
        </w:rPr>
        <w:t xml:space="preserve"> all volatiles (grey), CO</w:t>
      </w:r>
      <w:r w:rsidRPr="00884265">
        <w:rPr>
          <w:i w:val="0"/>
          <w:iCs w:val="0"/>
          <w:color w:val="000000" w:themeColor="text1"/>
          <w:sz w:val="24"/>
          <w:szCs w:val="24"/>
          <w:vertAlign w:val="subscript"/>
        </w:rPr>
        <w:t>2</w:t>
      </w:r>
      <w:r w:rsidRPr="00884265">
        <w:rPr>
          <w:i w:val="0"/>
          <w:iCs w:val="0"/>
          <w:color w:val="000000" w:themeColor="text1"/>
          <w:sz w:val="24"/>
          <w:szCs w:val="24"/>
        </w:rPr>
        <w:t>-eq (red circles), H</w:t>
      </w:r>
      <w:r w:rsidRPr="00884265">
        <w:rPr>
          <w:i w:val="0"/>
          <w:iCs w:val="0"/>
          <w:color w:val="000000" w:themeColor="text1"/>
          <w:sz w:val="24"/>
          <w:szCs w:val="24"/>
          <w:vertAlign w:val="subscript"/>
        </w:rPr>
        <w:t>2</w:t>
      </w:r>
      <w:r w:rsidRPr="00884265">
        <w:rPr>
          <w:i w:val="0"/>
          <w:iCs w:val="0"/>
          <w:color w:val="000000" w:themeColor="text1"/>
          <w:sz w:val="24"/>
          <w:szCs w:val="24"/>
        </w:rPr>
        <w:t>O-eq (blue circles), and S-</w:t>
      </w:r>
      <w:proofErr w:type="spellStart"/>
      <w:r w:rsidRPr="00884265">
        <w:rPr>
          <w:i w:val="0"/>
          <w:iCs w:val="0"/>
          <w:color w:val="000000" w:themeColor="text1"/>
          <w:sz w:val="24"/>
          <w:szCs w:val="24"/>
        </w:rPr>
        <w:t>eq</w:t>
      </w:r>
      <w:proofErr w:type="spellEnd"/>
      <w:r w:rsidRPr="00884265">
        <w:rPr>
          <w:i w:val="0"/>
          <w:iCs w:val="0"/>
          <w:color w:val="000000" w:themeColor="text1"/>
          <w:sz w:val="24"/>
          <w:szCs w:val="24"/>
        </w:rPr>
        <w:t xml:space="preserve"> (yellow circles) [red, blue, and yellow circles have been offset in </w:t>
      </w:r>
      <w:r w:rsidRPr="00E448C1">
        <w:rPr>
          <w:i w:val="0"/>
          <w:iCs w:val="0"/>
          <w:color w:val="000000" w:themeColor="text1"/>
          <w:sz w:val="24"/>
          <w:szCs w:val="24"/>
        </w:rPr>
        <w:t>Δ</w:t>
      </w:r>
      <w:r w:rsidRPr="00884265">
        <w:rPr>
          <w:i w:val="0"/>
          <w:iCs w:val="0"/>
          <w:color w:val="000000" w:themeColor="text1"/>
          <w:sz w:val="24"/>
          <w:szCs w:val="24"/>
        </w:rPr>
        <w:t xml:space="preserve">FMQ for clarity]. </w:t>
      </w:r>
      <w:r w:rsidRPr="00884265">
        <w:rPr>
          <w:b/>
          <w:bCs/>
          <w:i w:val="0"/>
          <w:iCs w:val="0"/>
          <w:color w:val="000000" w:themeColor="text1"/>
          <w:sz w:val="24"/>
          <w:szCs w:val="24"/>
        </w:rPr>
        <w:t>(d)</w:t>
      </w:r>
      <w:r w:rsidRPr="00884265">
        <w:rPr>
          <w:i w:val="0"/>
          <w:iCs w:val="0"/>
          <w:color w:val="000000" w:themeColor="text1"/>
          <w:sz w:val="24"/>
          <w:szCs w:val="24"/>
        </w:rPr>
        <w:t xml:space="preserve"> At various </w:t>
      </w:r>
      <w:r w:rsidRPr="00884265">
        <w:rPr>
          <w:color w:val="000000" w:themeColor="text1"/>
          <w:sz w:val="24"/>
          <w:szCs w:val="24"/>
        </w:rPr>
        <w:t>f</w:t>
      </w:r>
      <w:r w:rsidRPr="00884265">
        <w:rPr>
          <w:i w:val="0"/>
          <w:iCs w:val="0"/>
          <w:color w:val="000000" w:themeColor="text1"/>
          <w:sz w:val="24"/>
          <w:szCs w:val="24"/>
          <w:vertAlign w:val="subscript"/>
        </w:rPr>
        <w:t>O2</w:t>
      </w:r>
      <w:r w:rsidRPr="00884265">
        <w:rPr>
          <w:i w:val="0"/>
          <w:iCs w:val="0"/>
          <w:color w:val="000000" w:themeColor="text1"/>
          <w:sz w:val="24"/>
          <w:szCs w:val="24"/>
        </w:rPr>
        <w:t>, varying all melt composition parameters</w:t>
      </w:r>
      <w:r>
        <w:rPr>
          <w:i w:val="0"/>
          <w:iCs w:val="0"/>
          <w:color w:val="000000" w:themeColor="text1"/>
          <w:sz w:val="24"/>
          <w:szCs w:val="24"/>
        </w:rPr>
        <w:t xml:space="preserve"> (the black-dash box is the region shown in (a–c))</w:t>
      </w:r>
      <w:r w:rsidRPr="00884265">
        <w:rPr>
          <w:i w:val="0"/>
          <w:iCs w:val="0"/>
          <w:color w:val="000000" w:themeColor="text1"/>
          <w:sz w:val="24"/>
          <w:szCs w:val="24"/>
        </w:rPr>
        <w:t xml:space="preserve">. The black star is the true value at a particular </w:t>
      </w:r>
      <w:r w:rsidRPr="00884265">
        <w:rPr>
          <w:color w:val="000000" w:themeColor="text1"/>
          <w:sz w:val="24"/>
          <w:szCs w:val="24"/>
        </w:rPr>
        <w:t>f</w:t>
      </w:r>
      <w:r w:rsidRPr="00884265">
        <w:rPr>
          <w:i w:val="0"/>
          <w:iCs w:val="0"/>
          <w:color w:val="000000" w:themeColor="text1"/>
          <w:sz w:val="24"/>
          <w:szCs w:val="24"/>
          <w:vertAlign w:val="subscript"/>
        </w:rPr>
        <w:t>O2</w:t>
      </w:r>
      <w:r w:rsidRPr="00884265">
        <w:rPr>
          <w:i w:val="0"/>
          <w:iCs w:val="0"/>
          <w:color w:val="000000" w:themeColor="text1"/>
          <w:sz w:val="24"/>
          <w:szCs w:val="24"/>
        </w:rPr>
        <w:t xml:space="preserve"> and the yellow </w:t>
      </w:r>
      <w:r w:rsidR="008D4EA7">
        <w:rPr>
          <w:i w:val="0"/>
          <w:iCs w:val="0"/>
          <w:color w:val="000000" w:themeColor="text1"/>
          <w:sz w:val="24"/>
          <w:szCs w:val="24"/>
        </w:rPr>
        <w:t>curve</w:t>
      </w:r>
      <w:r w:rsidRPr="00884265">
        <w:rPr>
          <w:i w:val="0"/>
          <w:iCs w:val="0"/>
          <w:color w:val="000000" w:themeColor="text1"/>
          <w:sz w:val="24"/>
          <w:szCs w:val="24"/>
        </w:rPr>
        <w:t xml:space="preserve"> how the true value of </w:t>
      </w:r>
      <w:proofErr w:type="spellStart"/>
      <w:r w:rsidRPr="00884265">
        <w:rPr>
          <w:color w:val="000000" w:themeColor="text1"/>
          <w:sz w:val="24"/>
          <w:szCs w:val="24"/>
        </w:rPr>
        <w:t>P</w:t>
      </w:r>
      <w:r w:rsidR="00D43EB5">
        <w:rPr>
          <w:color w:val="000000" w:themeColor="text1"/>
          <w:sz w:val="24"/>
          <w:szCs w:val="24"/>
          <w:vertAlign w:val="superscript"/>
        </w:rPr>
        <w:t>v</w:t>
      </w:r>
      <w:r w:rsidRPr="00884265">
        <w:rPr>
          <w:i w:val="0"/>
          <w:iCs w:val="0"/>
          <w:color w:val="000000" w:themeColor="text1"/>
          <w:sz w:val="24"/>
          <w:szCs w:val="24"/>
          <w:vertAlign w:val="subscript"/>
        </w:rPr>
        <w:t>sat</w:t>
      </w:r>
      <w:proofErr w:type="spellEnd"/>
      <w:r w:rsidRPr="00884265">
        <w:rPr>
          <w:i w:val="0"/>
          <w:iCs w:val="0"/>
          <w:color w:val="000000" w:themeColor="text1"/>
          <w:sz w:val="24"/>
          <w:szCs w:val="24"/>
        </w:rPr>
        <w:t xml:space="preserve"> varies with </w:t>
      </w:r>
      <w:r w:rsidRPr="00884265">
        <w:rPr>
          <w:color w:val="000000" w:themeColor="text1"/>
          <w:sz w:val="24"/>
          <w:szCs w:val="24"/>
        </w:rPr>
        <w:t>f</w:t>
      </w:r>
      <w:r w:rsidRPr="00884265">
        <w:rPr>
          <w:i w:val="0"/>
          <w:iCs w:val="0"/>
          <w:color w:val="000000" w:themeColor="text1"/>
          <w:sz w:val="24"/>
          <w:szCs w:val="24"/>
          <w:vertAlign w:val="subscript"/>
        </w:rPr>
        <w:t>O2</w:t>
      </w:r>
      <w:r>
        <w:rPr>
          <w:i w:val="0"/>
          <w:iCs w:val="0"/>
          <w:color w:val="000000" w:themeColor="text1"/>
          <w:sz w:val="24"/>
          <w:szCs w:val="24"/>
        </w:rPr>
        <w:t>.</w:t>
      </w:r>
    </w:p>
    <w:p w14:paraId="79067B92" w14:textId="77777777" w:rsidR="00EF2B89" w:rsidRDefault="00EF2B89">
      <w:pPr>
        <w:rPr>
          <w:rFonts w:asciiTheme="majorBidi" w:eastAsiaTheme="minorEastAsia" w:hAnsiTheme="majorBidi"/>
          <w:i/>
          <w:iCs/>
          <w:color w:val="000000" w:themeColor="text1"/>
        </w:rPr>
      </w:pPr>
      <w:bookmarkStart w:id="38" w:name="_Ref127449371"/>
      <w:r>
        <w:rPr>
          <w:color w:val="000000" w:themeColor="text1"/>
        </w:rPr>
        <w:br w:type="page"/>
      </w:r>
    </w:p>
    <w:p w14:paraId="7484A1BF" w14:textId="322CBAC9" w:rsidR="00AC4246" w:rsidRPr="00884265" w:rsidRDefault="00AC4246" w:rsidP="00AC4246">
      <w:pPr>
        <w:pStyle w:val="Caption"/>
        <w:keepNext/>
        <w:spacing w:after="0"/>
        <w:ind w:firstLine="0"/>
        <w:rPr>
          <w:i w:val="0"/>
          <w:iCs w:val="0"/>
          <w:color w:val="000000" w:themeColor="text1"/>
          <w:sz w:val="24"/>
          <w:szCs w:val="24"/>
        </w:rPr>
      </w:pPr>
      <w:r w:rsidRPr="00884265">
        <w:rPr>
          <w:color w:val="000000" w:themeColor="text1"/>
          <w:sz w:val="24"/>
          <w:szCs w:val="24"/>
        </w:rPr>
        <w:lastRenderedPageBreak/>
        <w:t xml:space="preserve">Table </w:t>
      </w:r>
      <w:r w:rsidR="003C7931">
        <w:rPr>
          <w:color w:val="000000" w:themeColor="text1"/>
          <w:sz w:val="24"/>
          <w:szCs w:val="24"/>
        </w:rPr>
        <w:t>S</w:t>
      </w:r>
      <w:r w:rsidRPr="00884265">
        <w:rPr>
          <w:color w:val="000000" w:themeColor="text1"/>
          <w:sz w:val="24"/>
          <w:szCs w:val="24"/>
        </w:rPr>
        <w:fldChar w:fldCharType="begin"/>
      </w:r>
      <w:r w:rsidRPr="00884265">
        <w:rPr>
          <w:color w:val="000000" w:themeColor="text1"/>
          <w:sz w:val="24"/>
          <w:szCs w:val="24"/>
        </w:rPr>
        <w:instrText xml:space="preserve"> SEQ Table \* ARABIC </w:instrText>
      </w:r>
      <w:r w:rsidRPr="00884265">
        <w:rPr>
          <w:color w:val="000000" w:themeColor="text1"/>
          <w:sz w:val="24"/>
          <w:szCs w:val="24"/>
        </w:rPr>
        <w:fldChar w:fldCharType="separate"/>
      </w:r>
      <w:r w:rsidRPr="00884265">
        <w:rPr>
          <w:noProof/>
          <w:color w:val="000000" w:themeColor="text1"/>
          <w:sz w:val="24"/>
          <w:szCs w:val="24"/>
        </w:rPr>
        <w:t>6</w:t>
      </w:r>
      <w:r w:rsidRPr="00884265">
        <w:rPr>
          <w:color w:val="000000" w:themeColor="text1"/>
          <w:sz w:val="24"/>
          <w:szCs w:val="24"/>
        </w:rPr>
        <w:fldChar w:fldCharType="end"/>
      </w:r>
      <w:bookmarkEnd w:id="38"/>
      <w:r>
        <w:rPr>
          <w:i w:val="0"/>
          <w:iCs w:val="0"/>
          <w:color w:val="000000" w:themeColor="text1"/>
          <w:sz w:val="24"/>
          <w:szCs w:val="24"/>
        </w:rPr>
        <w:t xml:space="preserve"> Quantitative effect of analytical errors on melt composition on calculations of </w:t>
      </w:r>
      <w:proofErr w:type="spellStart"/>
      <w:r w:rsidRPr="00884265">
        <w:rPr>
          <w:color w:val="000000" w:themeColor="text1"/>
          <w:sz w:val="24"/>
          <w:szCs w:val="24"/>
        </w:rPr>
        <w:t>P</w:t>
      </w:r>
      <w:r w:rsidR="00D43EB5">
        <w:rPr>
          <w:color w:val="000000" w:themeColor="text1"/>
          <w:sz w:val="24"/>
          <w:szCs w:val="24"/>
          <w:vertAlign w:val="superscript"/>
        </w:rPr>
        <w:t>v</w:t>
      </w:r>
      <w:r w:rsidRPr="00884265">
        <w:rPr>
          <w:i w:val="0"/>
          <w:iCs w:val="0"/>
          <w:color w:val="000000" w:themeColor="text1"/>
          <w:sz w:val="24"/>
          <w:szCs w:val="24"/>
          <w:vertAlign w:val="subscript"/>
        </w:rPr>
        <w:t>sat</w:t>
      </w:r>
      <w:proofErr w:type="spellEnd"/>
      <w:r>
        <w:rPr>
          <w:i w:val="0"/>
          <w:iCs w:val="0"/>
          <w:color w:val="000000" w:themeColor="text1"/>
          <w:sz w:val="24"/>
          <w:szCs w:val="24"/>
        </w:rPr>
        <w:t xml:space="preserve"> and </w:t>
      </w:r>
      <w:r w:rsidRPr="00884265">
        <w:rPr>
          <w:color w:val="000000" w:themeColor="text1"/>
          <w:sz w:val="24"/>
          <w:szCs w:val="24"/>
        </w:rPr>
        <w:t>f</w:t>
      </w:r>
      <w:r w:rsidRPr="00884265">
        <w:rPr>
          <w:i w:val="0"/>
          <w:iCs w:val="0"/>
          <w:color w:val="000000" w:themeColor="text1"/>
          <w:sz w:val="24"/>
          <w:szCs w:val="24"/>
          <w:vertAlign w:val="subscript"/>
        </w:rPr>
        <w:t>O2</w:t>
      </w:r>
      <w:r>
        <w:rPr>
          <w:i w:val="0"/>
          <w:iCs w:val="0"/>
          <w:color w:val="000000" w:themeColor="text1"/>
          <w:sz w:val="24"/>
          <w:szCs w:val="24"/>
        </w:rPr>
        <w:t>.</w:t>
      </w:r>
    </w:p>
    <w:tbl>
      <w:tblPr>
        <w:tblStyle w:val="TableGrid"/>
        <w:tblW w:w="0" w:type="auto"/>
        <w:tblLook w:val="04A0" w:firstRow="1" w:lastRow="0" w:firstColumn="1" w:lastColumn="0" w:noHBand="0" w:noVBand="1"/>
      </w:tblPr>
      <w:tblGrid>
        <w:gridCol w:w="2547"/>
        <w:gridCol w:w="1204"/>
        <w:gridCol w:w="1064"/>
        <w:gridCol w:w="1134"/>
        <w:gridCol w:w="1134"/>
        <w:gridCol w:w="992"/>
        <w:gridCol w:w="941"/>
      </w:tblGrid>
      <w:tr w:rsidR="00AC4246" w:rsidRPr="005339B8" w14:paraId="4D6705C6" w14:textId="77777777" w:rsidTr="00E7599D">
        <w:tc>
          <w:tcPr>
            <w:tcW w:w="2547" w:type="dxa"/>
            <w:vMerge w:val="restart"/>
          </w:tcPr>
          <w:p w14:paraId="1F3E17DF" w14:textId="77777777" w:rsidR="00AC4246" w:rsidRPr="00884265" w:rsidRDefault="00AC4246" w:rsidP="00B016E9">
            <w:pPr>
              <w:jc w:val="center"/>
              <w:rPr>
                <w:rFonts w:ascii="Times New Roman" w:hAnsi="Times New Roman" w:cs="Times New Roman"/>
              </w:rPr>
            </w:pPr>
            <w:r>
              <w:rPr>
                <w:rFonts w:ascii="Times New Roman" w:hAnsi="Times New Roman" w:cs="Times New Roman"/>
              </w:rPr>
              <w:t>Compositional parameter varied</w:t>
            </w:r>
          </w:p>
        </w:tc>
        <w:tc>
          <w:tcPr>
            <w:tcW w:w="3402" w:type="dxa"/>
            <w:gridSpan w:val="3"/>
          </w:tcPr>
          <w:p w14:paraId="2C2686AD" w14:textId="77777777" w:rsidR="00AC4246" w:rsidRPr="00884265" w:rsidRDefault="00AC4246" w:rsidP="00B016E9">
            <w:pPr>
              <w:jc w:val="center"/>
              <w:rPr>
                <w:rFonts w:ascii="Times New Roman" w:hAnsi="Times New Roman" w:cs="Times New Roman"/>
              </w:rPr>
            </w:pPr>
            <w:proofErr w:type="spellStart"/>
            <w:r w:rsidRPr="00884265">
              <w:rPr>
                <w:rFonts w:ascii="Times New Roman" w:hAnsi="Times New Roman" w:cs="Times New Roman"/>
                <w:i/>
                <w:iCs/>
              </w:rPr>
              <w:t>P</w:t>
            </w:r>
            <w:r w:rsidRPr="00884265">
              <w:rPr>
                <w:rFonts w:ascii="Times New Roman" w:hAnsi="Times New Roman" w:cs="Times New Roman"/>
                <w:i/>
                <w:iCs/>
                <w:vertAlign w:val="superscript"/>
              </w:rPr>
              <w:t>v</w:t>
            </w:r>
            <w:r w:rsidRPr="00884265">
              <w:rPr>
                <w:rFonts w:ascii="Times New Roman" w:hAnsi="Times New Roman" w:cs="Times New Roman"/>
                <w:vertAlign w:val="subscript"/>
              </w:rPr>
              <w:t>sat</w:t>
            </w:r>
            <w:proofErr w:type="spellEnd"/>
            <w:r w:rsidRPr="000B6300">
              <w:rPr>
                <w:rFonts w:ascii="Times New Roman" w:hAnsi="Times New Roman" w:cs="Times New Roman"/>
              </w:rPr>
              <w:t xml:space="preserve"> (bar)</w:t>
            </w:r>
          </w:p>
        </w:tc>
        <w:tc>
          <w:tcPr>
            <w:tcW w:w="3067" w:type="dxa"/>
            <w:gridSpan w:val="3"/>
          </w:tcPr>
          <w:p w14:paraId="5D096B52" w14:textId="693FB51B" w:rsidR="00AC4246" w:rsidRPr="00884265" w:rsidRDefault="00AC4246" w:rsidP="00D43EB5">
            <w:pPr>
              <w:jc w:val="center"/>
              <w:rPr>
                <w:rFonts w:ascii="Times New Roman" w:hAnsi="Times New Roman" w:cs="Times New Roman"/>
              </w:rPr>
            </w:pPr>
            <w:r w:rsidRPr="00884265">
              <w:rPr>
                <w:rFonts w:ascii="Times New Roman" w:hAnsi="Times New Roman" w:cs="Times New Roman"/>
                <w:i/>
                <w:iCs/>
              </w:rPr>
              <w:t>f</w:t>
            </w:r>
            <w:r w:rsidRPr="00884265">
              <w:rPr>
                <w:rFonts w:ascii="Times New Roman" w:hAnsi="Times New Roman" w:cs="Times New Roman"/>
                <w:vertAlign w:val="subscript"/>
              </w:rPr>
              <w:t>O2</w:t>
            </w:r>
            <w:r>
              <w:rPr>
                <w:rFonts w:ascii="Times New Roman" w:hAnsi="Times New Roman" w:cs="Times New Roman"/>
              </w:rPr>
              <w:t xml:space="preserve"> </w:t>
            </w:r>
            <w:r w:rsidR="00D43EB5">
              <w:rPr>
                <w:rFonts w:ascii="Times New Roman" w:hAnsi="Times New Roman" w:cs="Times New Roman"/>
              </w:rPr>
              <w:t>(</w:t>
            </w:r>
            <w:r w:rsidRPr="00884265">
              <w:rPr>
                <w:rFonts w:ascii="Times New Roman" w:hAnsi="Times New Roman" w:cs="Times New Roman"/>
              </w:rPr>
              <w:t>Δ</w:t>
            </w:r>
            <w:r>
              <w:rPr>
                <w:rFonts w:ascii="Times New Roman" w:hAnsi="Times New Roman" w:cs="Times New Roman"/>
              </w:rPr>
              <w:t>FMQ</w:t>
            </w:r>
            <w:r w:rsidRPr="00A40D61">
              <w:rPr>
                <w:rFonts w:ascii="Times New Roman" w:hAnsi="Times New Roman" w:cs="Times New Roman"/>
              </w:rPr>
              <w:t>)</w:t>
            </w:r>
          </w:p>
        </w:tc>
      </w:tr>
      <w:tr w:rsidR="00E7599D" w:rsidRPr="005339B8" w14:paraId="6E41F72F" w14:textId="77777777" w:rsidTr="00E7599D">
        <w:tc>
          <w:tcPr>
            <w:tcW w:w="2547" w:type="dxa"/>
            <w:vMerge/>
          </w:tcPr>
          <w:p w14:paraId="045566BB" w14:textId="77777777" w:rsidR="00AC4246" w:rsidRDefault="00AC4246" w:rsidP="00B016E9">
            <w:pPr>
              <w:rPr>
                <w:rFonts w:ascii="Times New Roman" w:hAnsi="Times New Roman" w:cs="Times New Roman"/>
              </w:rPr>
            </w:pPr>
          </w:p>
        </w:tc>
        <w:tc>
          <w:tcPr>
            <w:tcW w:w="1204" w:type="dxa"/>
          </w:tcPr>
          <w:p w14:paraId="5B52D9B1" w14:textId="77777777" w:rsidR="00AC4246" w:rsidRDefault="00AC4246" w:rsidP="00B016E9">
            <w:pPr>
              <w:jc w:val="center"/>
              <w:rPr>
                <w:rFonts w:ascii="Times New Roman" w:hAnsi="Times New Roman" w:cs="Times New Roman"/>
              </w:rPr>
            </w:pPr>
            <w:r>
              <w:rPr>
                <w:rFonts w:ascii="Times New Roman" w:hAnsi="Times New Roman" w:cs="Times New Roman"/>
              </w:rPr>
              <w:t>correct</w:t>
            </w:r>
          </w:p>
        </w:tc>
        <w:tc>
          <w:tcPr>
            <w:tcW w:w="1064" w:type="dxa"/>
          </w:tcPr>
          <w:p w14:paraId="14763944" w14:textId="77777777" w:rsidR="00AC4246" w:rsidRDefault="00AC4246" w:rsidP="00B016E9">
            <w:pPr>
              <w:jc w:val="center"/>
              <w:rPr>
                <w:rFonts w:ascii="Times New Roman" w:hAnsi="Times New Roman" w:cs="Times New Roman"/>
              </w:rPr>
            </w:pPr>
            <w:r>
              <w:rPr>
                <w:rFonts w:ascii="Times New Roman" w:hAnsi="Times New Roman" w:cs="Times New Roman"/>
              </w:rPr>
              <w:t>mean</w:t>
            </w:r>
          </w:p>
        </w:tc>
        <w:tc>
          <w:tcPr>
            <w:tcW w:w="1134" w:type="dxa"/>
          </w:tcPr>
          <w:p w14:paraId="167F90A4" w14:textId="77777777" w:rsidR="00AC4246" w:rsidRDefault="00AC4246" w:rsidP="00B016E9">
            <w:pPr>
              <w:jc w:val="center"/>
              <w:rPr>
                <w:rFonts w:ascii="Times New Roman" w:hAnsi="Times New Roman" w:cs="Times New Roman"/>
              </w:rPr>
            </w:pPr>
            <w:proofErr w:type="spellStart"/>
            <w:r>
              <w:rPr>
                <w:rFonts w:ascii="Times New Roman" w:hAnsi="Times New Roman" w:cs="Times New Roman"/>
              </w:rPr>
              <w:t>s.d.</w:t>
            </w:r>
            <w:proofErr w:type="spellEnd"/>
          </w:p>
        </w:tc>
        <w:tc>
          <w:tcPr>
            <w:tcW w:w="1134" w:type="dxa"/>
          </w:tcPr>
          <w:p w14:paraId="36DC9A20" w14:textId="77777777" w:rsidR="00AC4246" w:rsidRDefault="00AC4246" w:rsidP="00B016E9">
            <w:pPr>
              <w:jc w:val="center"/>
              <w:rPr>
                <w:rFonts w:ascii="Times New Roman" w:hAnsi="Times New Roman" w:cs="Times New Roman"/>
              </w:rPr>
            </w:pPr>
            <w:r>
              <w:rPr>
                <w:rFonts w:ascii="Times New Roman" w:hAnsi="Times New Roman" w:cs="Times New Roman"/>
              </w:rPr>
              <w:t>correct</w:t>
            </w:r>
          </w:p>
        </w:tc>
        <w:tc>
          <w:tcPr>
            <w:tcW w:w="992" w:type="dxa"/>
          </w:tcPr>
          <w:p w14:paraId="4811A075" w14:textId="77777777" w:rsidR="00AC4246" w:rsidRDefault="00AC4246" w:rsidP="00B016E9">
            <w:pPr>
              <w:jc w:val="center"/>
              <w:rPr>
                <w:rFonts w:ascii="Times New Roman" w:hAnsi="Times New Roman" w:cs="Times New Roman"/>
              </w:rPr>
            </w:pPr>
            <w:r>
              <w:rPr>
                <w:rFonts w:ascii="Times New Roman" w:hAnsi="Times New Roman" w:cs="Times New Roman"/>
              </w:rPr>
              <w:t>mean</w:t>
            </w:r>
          </w:p>
        </w:tc>
        <w:tc>
          <w:tcPr>
            <w:tcW w:w="941" w:type="dxa"/>
          </w:tcPr>
          <w:p w14:paraId="67457262" w14:textId="77777777" w:rsidR="00AC4246" w:rsidRDefault="00AC4246" w:rsidP="00B016E9">
            <w:pPr>
              <w:jc w:val="center"/>
              <w:rPr>
                <w:rFonts w:ascii="Times New Roman" w:hAnsi="Times New Roman" w:cs="Times New Roman"/>
              </w:rPr>
            </w:pPr>
            <w:proofErr w:type="spellStart"/>
            <w:r>
              <w:rPr>
                <w:rFonts w:ascii="Times New Roman" w:hAnsi="Times New Roman" w:cs="Times New Roman"/>
              </w:rPr>
              <w:t>s.d.</w:t>
            </w:r>
            <w:proofErr w:type="spellEnd"/>
          </w:p>
        </w:tc>
      </w:tr>
      <w:tr w:rsidR="00E7599D" w:rsidRPr="005339B8" w14:paraId="4D6132A8" w14:textId="77777777" w:rsidTr="00E7599D">
        <w:tc>
          <w:tcPr>
            <w:tcW w:w="2547" w:type="dxa"/>
          </w:tcPr>
          <w:p w14:paraId="73B4C141" w14:textId="04DF27EF" w:rsidR="00AC4246" w:rsidRDefault="00AC4246" w:rsidP="00B016E9">
            <w:pPr>
              <w:rPr>
                <w:rFonts w:ascii="Times New Roman" w:hAnsi="Times New Roman" w:cs="Times New Roman"/>
              </w:rPr>
            </w:pPr>
            <w:r>
              <w:rPr>
                <w:rFonts w:ascii="Times New Roman" w:hAnsi="Times New Roman" w:cs="Times New Roman"/>
              </w:rPr>
              <w:t>Melt</w:t>
            </w:r>
            <w:r w:rsidR="00DA67F0">
              <w:rPr>
                <w:rFonts w:ascii="Times New Roman" w:hAnsi="Times New Roman" w:cs="Times New Roman"/>
              </w:rPr>
              <w:t xml:space="preserve"> composition (a)</w:t>
            </w:r>
          </w:p>
        </w:tc>
        <w:tc>
          <w:tcPr>
            <w:tcW w:w="1204" w:type="dxa"/>
            <w:vMerge w:val="restart"/>
            <w:vAlign w:val="center"/>
          </w:tcPr>
          <w:p w14:paraId="7866CC20" w14:textId="77777777" w:rsidR="00AC4246" w:rsidRDefault="00AC4246" w:rsidP="00B016E9">
            <w:pPr>
              <w:jc w:val="right"/>
              <w:rPr>
                <w:rFonts w:ascii="Times New Roman" w:hAnsi="Times New Roman" w:cs="Times New Roman"/>
              </w:rPr>
            </w:pPr>
            <w:r>
              <w:rPr>
                <w:rFonts w:ascii="Times New Roman" w:hAnsi="Times New Roman" w:cs="Times New Roman"/>
              </w:rPr>
              <w:t>2656</w:t>
            </w:r>
          </w:p>
        </w:tc>
        <w:tc>
          <w:tcPr>
            <w:tcW w:w="1064" w:type="dxa"/>
          </w:tcPr>
          <w:p w14:paraId="1AB1EF06" w14:textId="77777777" w:rsidR="00AC4246" w:rsidRDefault="00AC4246" w:rsidP="00B016E9">
            <w:pPr>
              <w:jc w:val="right"/>
              <w:rPr>
                <w:rFonts w:ascii="Times New Roman" w:hAnsi="Times New Roman" w:cs="Times New Roman"/>
              </w:rPr>
            </w:pPr>
            <w:r>
              <w:rPr>
                <w:rFonts w:ascii="Times New Roman" w:hAnsi="Times New Roman" w:cs="Times New Roman"/>
              </w:rPr>
              <w:t>2657</w:t>
            </w:r>
          </w:p>
        </w:tc>
        <w:tc>
          <w:tcPr>
            <w:tcW w:w="1134" w:type="dxa"/>
          </w:tcPr>
          <w:p w14:paraId="372B7559" w14:textId="77777777" w:rsidR="00AC4246" w:rsidRDefault="00AC4246" w:rsidP="00B016E9">
            <w:pPr>
              <w:jc w:val="right"/>
              <w:rPr>
                <w:rFonts w:ascii="Times New Roman" w:hAnsi="Times New Roman" w:cs="Times New Roman"/>
              </w:rPr>
            </w:pPr>
            <w:r>
              <w:rPr>
                <w:rFonts w:ascii="Times New Roman" w:hAnsi="Times New Roman" w:cs="Times New Roman"/>
              </w:rPr>
              <w:t>3</w:t>
            </w:r>
          </w:p>
        </w:tc>
        <w:tc>
          <w:tcPr>
            <w:tcW w:w="1134" w:type="dxa"/>
            <w:vMerge w:val="restart"/>
            <w:vAlign w:val="center"/>
          </w:tcPr>
          <w:p w14:paraId="1941ABB4"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992" w:type="dxa"/>
          </w:tcPr>
          <w:p w14:paraId="0764E01A" w14:textId="77777777" w:rsidR="00AC4246" w:rsidRDefault="00AC4246" w:rsidP="00B016E9">
            <w:pPr>
              <w:jc w:val="right"/>
              <w:rPr>
                <w:rFonts w:ascii="Times New Roman" w:hAnsi="Times New Roman" w:cs="Times New Roman"/>
              </w:rPr>
            </w:pPr>
            <w:r>
              <w:rPr>
                <w:rFonts w:ascii="Times New Roman" w:hAnsi="Times New Roman" w:cs="Times New Roman"/>
              </w:rPr>
              <w:t>1.18</w:t>
            </w:r>
          </w:p>
        </w:tc>
        <w:tc>
          <w:tcPr>
            <w:tcW w:w="941" w:type="dxa"/>
          </w:tcPr>
          <w:p w14:paraId="43F5F267" w14:textId="77777777" w:rsidR="00AC4246" w:rsidRDefault="00AC4246" w:rsidP="00B016E9">
            <w:pPr>
              <w:jc w:val="right"/>
              <w:rPr>
                <w:rFonts w:ascii="Times New Roman" w:hAnsi="Times New Roman" w:cs="Times New Roman"/>
              </w:rPr>
            </w:pPr>
            <w:r>
              <w:rPr>
                <w:rFonts w:ascii="Times New Roman" w:hAnsi="Times New Roman" w:cs="Times New Roman"/>
              </w:rPr>
              <w:t>0.02</w:t>
            </w:r>
          </w:p>
        </w:tc>
      </w:tr>
      <w:tr w:rsidR="00E7599D" w:rsidRPr="005339B8" w14:paraId="05035656" w14:textId="77777777" w:rsidTr="00E7599D">
        <w:tc>
          <w:tcPr>
            <w:tcW w:w="2547" w:type="dxa"/>
          </w:tcPr>
          <w:p w14:paraId="24E13DAF" w14:textId="63C105FA" w:rsidR="00AC4246" w:rsidRDefault="00AC4246" w:rsidP="00B016E9">
            <w:pPr>
              <w:rPr>
                <w:rFonts w:ascii="Times New Roman" w:hAnsi="Times New Roman" w:cs="Times New Roman"/>
              </w:rPr>
            </w:pPr>
            <w:r>
              <w:rPr>
                <w:rFonts w:ascii="Times New Roman" w:hAnsi="Times New Roman" w:cs="Times New Roman"/>
              </w:rPr>
              <w:t>Fe</w:t>
            </w:r>
            <w:r w:rsidRPr="00884265">
              <w:rPr>
                <w:rFonts w:ascii="Times New Roman" w:hAnsi="Times New Roman" w:cs="Times New Roman"/>
                <w:vertAlign w:val="superscript"/>
              </w:rPr>
              <w:t>3+</w:t>
            </w:r>
            <w:r>
              <w:rPr>
                <w:rFonts w:ascii="Times New Roman" w:hAnsi="Times New Roman" w:cs="Times New Roman"/>
              </w:rPr>
              <w:t>/</w:t>
            </w:r>
            <w:proofErr w:type="spellStart"/>
            <w:r>
              <w:rPr>
                <w:rFonts w:ascii="Times New Roman" w:hAnsi="Times New Roman" w:cs="Times New Roman"/>
              </w:rPr>
              <w:t>Fe</w:t>
            </w:r>
            <w:r w:rsidRPr="00884265">
              <w:rPr>
                <w:rFonts w:ascii="Times New Roman" w:hAnsi="Times New Roman" w:cs="Times New Roman"/>
                <w:vertAlign w:val="subscript"/>
              </w:rPr>
              <w:t>T</w:t>
            </w:r>
            <w:proofErr w:type="spellEnd"/>
            <w:r w:rsidR="00DA67F0" w:rsidRPr="00DA67F0">
              <w:rPr>
                <w:rFonts w:ascii="Times New Roman" w:hAnsi="Times New Roman" w:cs="Times New Roman"/>
              </w:rPr>
              <w:t xml:space="preserve"> </w:t>
            </w:r>
            <w:r w:rsidR="00DA67F0">
              <w:rPr>
                <w:rFonts w:ascii="Times New Roman" w:hAnsi="Times New Roman" w:cs="Times New Roman"/>
              </w:rPr>
              <w:t>(b)</w:t>
            </w:r>
          </w:p>
        </w:tc>
        <w:tc>
          <w:tcPr>
            <w:tcW w:w="1204" w:type="dxa"/>
            <w:vMerge/>
          </w:tcPr>
          <w:p w14:paraId="70083691" w14:textId="77777777" w:rsidR="00AC4246" w:rsidRDefault="00AC4246" w:rsidP="00B016E9">
            <w:pPr>
              <w:jc w:val="right"/>
              <w:rPr>
                <w:rFonts w:ascii="Times New Roman" w:hAnsi="Times New Roman" w:cs="Times New Roman"/>
              </w:rPr>
            </w:pPr>
          </w:p>
        </w:tc>
        <w:tc>
          <w:tcPr>
            <w:tcW w:w="1064" w:type="dxa"/>
          </w:tcPr>
          <w:p w14:paraId="06224A45" w14:textId="77777777" w:rsidR="00AC4246" w:rsidRDefault="00AC4246" w:rsidP="00B016E9">
            <w:pPr>
              <w:jc w:val="right"/>
              <w:rPr>
                <w:rFonts w:ascii="Times New Roman" w:hAnsi="Times New Roman" w:cs="Times New Roman"/>
              </w:rPr>
            </w:pPr>
            <w:r>
              <w:rPr>
                <w:rFonts w:ascii="Times New Roman" w:hAnsi="Times New Roman" w:cs="Times New Roman"/>
              </w:rPr>
              <w:t>2655</w:t>
            </w:r>
          </w:p>
        </w:tc>
        <w:tc>
          <w:tcPr>
            <w:tcW w:w="1134" w:type="dxa"/>
          </w:tcPr>
          <w:p w14:paraId="6C87FAA0" w14:textId="77777777" w:rsidR="00AC4246" w:rsidRDefault="00AC4246" w:rsidP="00B016E9">
            <w:pPr>
              <w:jc w:val="right"/>
              <w:rPr>
                <w:rFonts w:ascii="Times New Roman" w:hAnsi="Times New Roman" w:cs="Times New Roman"/>
              </w:rPr>
            </w:pPr>
            <w:r>
              <w:rPr>
                <w:rFonts w:ascii="Times New Roman" w:hAnsi="Times New Roman" w:cs="Times New Roman"/>
              </w:rPr>
              <w:t>2</w:t>
            </w:r>
          </w:p>
        </w:tc>
        <w:tc>
          <w:tcPr>
            <w:tcW w:w="1134" w:type="dxa"/>
            <w:vMerge/>
          </w:tcPr>
          <w:p w14:paraId="37A6C9DB" w14:textId="77777777" w:rsidR="00AC4246" w:rsidRDefault="00AC4246" w:rsidP="00B016E9">
            <w:pPr>
              <w:jc w:val="right"/>
              <w:rPr>
                <w:rFonts w:ascii="Times New Roman" w:hAnsi="Times New Roman" w:cs="Times New Roman"/>
              </w:rPr>
            </w:pPr>
          </w:p>
        </w:tc>
        <w:tc>
          <w:tcPr>
            <w:tcW w:w="992" w:type="dxa"/>
          </w:tcPr>
          <w:p w14:paraId="149AA89C" w14:textId="77777777" w:rsidR="00AC4246" w:rsidRDefault="00AC4246" w:rsidP="00B016E9">
            <w:pPr>
              <w:jc w:val="right"/>
              <w:rPr>
                <w:rFonts w:ascii="Times New Roman" w:hAnsi="Times New Roman" w:cs="Times New Roman"/>
              </w:rPr>
            </w:pPr>
            <w:r>
              <w:rPr>
                <w:rFonts w:ascii="Times New Roman" w:hAnsi="Times New Roman" w:cs="Times New Roman"/>
              </w:rPr>
              <w:t>1.18</w:t>
            </w:r>
          </w:p>
        </w:tc>
        <w:tc>
          <w:tcPr>
            <w:tcW w:w="941" w:type="dxa"/>
          </w:tcPr>
          <w:p w14:paraId="0C43182E" w14:textId="77777777" w:rsidR="00AC4246" w:rsidRDefault="00AC4246" w:rsidP="00B016E9">
            <w:pPr>
              <w:jc w:val="right"/>
              <w:rPr>
                <w:rFonts w:ascii="Times New Roman" w:hAnsi="Times New Roman" w:cs="Times New Roman"/>
              </w:rPr>
            </w:pPr>
            <w:r>
              <w:rPr>
                <w:rFonts w:ascii="Times New Roman" w:hAnsi="Times New Roman" w:cs="Times New Roman"/>
              </w:rPr>
              <w:t>0.10</w:t>
            </w:r>
          </w:p>
        </w:tc>
      </w:tr>
      <w:tr w:rsidR="00E7599D" w:rsidRPr="000B6300" w14:paraId="2E393159" w14:textId="77777777" w:rsidTr="00E7599D">
        <w:tc>
          <w:tcPr>
            <w:tcW w:w="2547" w:type="dxa"/>
          </w:tcPr>
          <w:p w14:paraId="6C13C881" w14:textId="0DD23BDF" w:rsidR="00AC4246" w:rsidRDefault="00AC4246" w:rsidP="00B016E9">
            <w:pPr>
              <w:rPr>
                <w:rFonts w:ascii="Times New Roman" w:hAnsi="Times New Roman" w:cs="Times New Roman"/>
              </w:rPr>
            </w:pPr>
            <w:r>
              <w:rPr>
                <w:rFonts w:ascii="Times New Roman" w:hAnsi="Times New Roman" w:cs="Times New Roman"/>
              </w:rPr>
              <w:t>CO</w:t>
            </w:r>
            <w:r w:rsidRPr="00884265">
              <w:rPr>
                <w:rFonts w:ascii="Times New Roman" w:hAnsi="Times New Roman" w:cs="Times New Roman"/>
                <w:vertAlign w:val="subscript"/>
              </w:rPr>
              <w:t>2</w:t>
            </w:r>
            <w:r>
              <w:rPr>
                <w:rFonts w:ascii="Times New Roman" w:hAnsi="Times New Roman" w:cs="Times New Roman"/>
              </w:rPr>
              <w:t>-eq</w:t>
            </w:r>
            <w:r w:rsidR="00DA67F0">
              <w:rPr>
                <w:rFonts w:ascii="Times New Roman" w:hAnsi="Times New Roman" w:cs="Times New Roman"/>
              </w:rPr>
              <w:t xml:space="preserve"> (c – red)</w:t>
            </w:r>
          </w:p>
        </w:tc>
        <w:tc>
          <w:tcPr>
            <w:tcW w:w="1204" w:type="dxa"/>
            <w:vMerge/>
          </w:tcPr>
          <w:p w14:paraId="4DFFDD98" w14:textId="77777777" w:rsidR="00AC4246" w:rsidRDefault="00AC4246" w:rsidP="00B016E9">
            <w:pPr>
              <w:jc w:val="right"/>
              <w:rPr>
                <w:rFonts w:ascii="Times New Roman" w:hAnsi="Times New Roman" w:cs="Times New Roman"/>
              </w:rPr>
            </w:pPr>
          </w:p>
        </w:tc>
        <w:tc>
          <w:tcPr>
            <w:tcW w:w="1064" w:type="dxa"/>
          </w:tcPr>
          <w:p w14:paraId="6BE4FD3D" w14:textId="77777777" w:rsidR="00AC4246" w:rsidRDefault="00AC4246" w:rsidP="00B016E9">
            <w:pPr>
              <w:jc w:val="right"/>
              <w:rPr>
                <w:rFonts w:ascii="Times New Roman" w:hAnsi="Times New Roman" w:cs="Times New Roman"/>
              </w:rPr>
            </w:pPr>
            <w:r>
              <w:rPr>
                <w:rFonts w:ascii="Times New Roman" w:hAnsi="Times New Roman" w:cs="Times New Roman"/>
              </w:rPr>
              <w:t>2665</w:t>
            </w:r>
          </w:p>
        </w:tc>
        <w:tc>
          <w:tcPr>
            <w:tcW w:w="1134" w:type="dxa"/>
          </w:tcPr>
          <w:p w14:paraId="4AD3F203" w14:textId="77777777" w:rsidR="00AC4246" w:rsidRDefault="00AC4246" w:rsidP="00B016E9">
            <w:pPr>
              <w:jc w:val="right"/>
              <w:rPr>
                <w:rFonts w:ascii="Times New Roman" w:hAnsi="Times New Roman" w:cs="Times New Roman"/>
              </w:rPr>
            </w:pPr>
            <w:r>
              <w:rPr>
                <w:rFonts w:ascii="Times New Roman" w:hAnsi="Times New Roman" w:cs="Times New Roman"/>
              </w:rPr>
              <w:t>163</w:t>
            </w:r>
          </w:p>
        </w:tc>
        <w:tc>
          <w:tcPr>
            <w:tcW w:w="1134" w:type="dxa"/>
            <w:vMerge/>
          </w:tcPr>
          <w:p w14:paraId="3FF849D0" w14:textId="77777777" w:rsidR="00AC4246" w:rsidRDefault="00AC4246" w:rsidP="00B016E9">
            <w:pPr>
              <w:jc w:val="right"/>
              <w:rPr>
                <w:rFonts w:ascii="Times New Roman" w:hAnsi="Times New Roman" w:cs="Times New Roman"/>
              </w:rPr>
            </w:pPr>
          </w:p>
        </w:tc>
        <w:tc>
          <w:tcPr>
            <w:tcW w:w="992" w:type="dxa"/>
          </w:tcPr>
          <w:p w14:paraId="3334798B"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941" w:type="dxa"/>
          </w:tcPr>
          <w:p w14:paraId="7F27A02F" w14:textId="77777777" w:rsidR="00AC4246" w:rsidRDefault="00AC4246" w:rsidP="00B016E9">
            <w:pPr>
              <w:jc w:val="right"/>
              <w:rPr>
                <w:rFonts w:ascii="Times New Roman" w:hAnsi="Times New Roman" w:cs="Times New Roman"/>
              </w:rPr>
            </w:pPr>
            <w:r>
              <w:rPr>
                <w:rFonts w:ascii="Times New Roman" w:hAnsi="Times New Roman" w:cs="Times New Roman"/>
              </w:rPr>
              <w:t>0.00</w:t>
            </w:r>
          </w:p>
        </w:tc>
      </w:tr>
      <w:tr w:rsidR="00E7599D" w:rsidRPr="000B6300" w14:paraId="169C5972" w14:textId="77777777" w:rsidTr="00E7599D">
        <w:tc>
          <w:tcPr>
            <w:tcW w:w="2547" w:type="dxa"/>
          </w:tcPr>
          <w:p w14:paraId="6326E9FD" w14:textId="4DB7E935" w:rsidR="00AC4246" w:rsidRDefault="00AC4246" w:rsidP="00B016E9">
            <w:pPr>
              <w:rPr>
                <w:rFonts w:ascii="Times New Roman" w:hAnsi="Times New Roman" w:cs="Times New Roman"/>
              </w:rPr>
            </w:pPr>
            <w:r>
              <w:rPr>
                <w:rFonts w:ascii="Times New Roman" w:hAnsi="Times New Roman" w:cs="Times New Roman"/>
              </w:rPr>
              <w:t>H</w:t>
            </w:r>
            <w:r w:rsidRPr="00884265">
              <w:rPr>
                <w:rFonts w:ascii="Times New Roman" w:hAnsi="Times New Roman" w:cs="Times New Roman"/>
                <w:vertAlign w:val="subscript"/>
              </w:rPr>
              <w:t>2</w:t>
            </w:r>
            <w:r>
              <w:rPr>
                <w:rFonts w:ascii="Times New Roman" w:hAnsi="Times New Roman" w:cs="Times New Roman"/>
              </w:rPr>
              <w:t>O-eq</w:t>
            </w:r>
            <w:r w:rsidR="00DA67F0">
              <w:rPr>
                <w:rFonts w:ascii="Times New Roman" w:hAnsi="Times New Roman" w:cs="Times New Roman"/>
              </w:rPr>
              <w:t xml:space="preserve"> (c – blue)</w:t>
            </w:r>
            <w:r>
              <w:rPr>
                <w:rFonts w:ascii="Times New Roman" w:hAnsi="Times New Roman" w:cs="Times New Roman"/>
              </w:rPr>
              <w:t xml:space="preserve"> </w:t>
            </w:r>
          </w:p>
        </w:tc>
        <w:tc>
          <w:tcPr>
            <w:tcW w:w="1204" w:type="dxa"/>
            <w:vMerge/>
          </w:tcPr>
          <w:p w14:paraId="66EB73C3" w14:textId="77777777" w:rsidR="00AC4246" w:rsidRDefault="00AC4246" w:rsidP="00B016E9">
            <w:pPr>
              <w:jc w:val="right"/>
              <w:rPr>
                <w:rFonts w:ascii="Times New Roman" w:hAnsi="Times New Roman" w:cs="Times New Roman"/>
              </w:rPr>
            </w:pPr>
          </w:p>
        </w:tc>
        <w:tc>
          <w:tcPr>
            <w:tcW w:w="1064" w:type="dxa"/>
          </w:tcPr>
          <w:p w14:paraId="71C4EC69" w14:textId="77777777" w:rsidR="00AC4246" w:rsidRDefault="00AC4246" w:rsidP="00B016E9">
            <w:pPr>
              <w:jc w:val="right"/>
              <w:rPr>
                <w:rFonts w:ascii="Times New Roman" w:hAnsi="Times New Roman" w:cs="Times New Roman"/>
              </w:rPr>
            </w:pPr>
            <w:r>
              <w:rPr>
                <w:rFonts w:ascii="Times New Roman" w:hAnsi="Times New Roman" w:cs="Times New Roman"/>
              </w:rPr>
              <w:t>2674</w:t>
            </w:r>
          </w:p>
        </w:tc>
        <w:tc>
          <w:tcPr>
            <w:tcW w:w="1134" w:type="dxa"/>
          </w:tcPr>
          <w:p w14:paraId="2AAE598E"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1134" w:type="dxa"/>
            <w:vMerge/>
          </w:tcPr>
          <w:p w14:paraId="7DAE5527" w14:textId="77777777" w:rsidR="00AC4246" w:rsidRDefault="00AC4246" w:rsidP="00B016E9">
            <w:pPr>
              <w:jc w:val="right"/>
              <w:rPr>
                <w:rFonts w:ascii="Times New Roman" w:hAnsi="Times New Roman" w:cs="Times New Roman"/>
              </w:rPr>
            </w:pPr>
          </w:p>
        </w:tc>
        <w:tc>
          <w:tcPr>
            <w:tcW w:w="992" w:type="dxa"/>
          </w:tcPr>
          <w:p w14:paraId="2405BEB1"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941" w:type="dxa"/>
          </w:tcPr>
          <w:p w14:paraId="0B715A28" w14:textId="77777777" w:rsidR="00AC4246" w:rsidRDefault="00AC4246" w:rsidP="00B016E9">
            <w:pPr>
              <w:jc w:val="right"/>
              <w:rPr>
                <w:rFonts w:ascii="Times New Roman" w:hAnsi="Times New Roman" w:cs="Times New Roman"/>
              </w:rPr>
            </w:pPr>
            <w:r>
              <w:rPr>
                <w:rFonts w:ascii="Times New Roman" w:hAnsi="Times New Roman" w:cs="Times New Roman"/>
              </w:rPr>
              <w:t>0.00</w:t>
            </w:r>
          </w:p>
        </w:tc>
      </w:tr>
      <w:tr w:rsidR="00E7599D" w:rsidRPr="000B6300" w14:paraId="38EF9F8F" w14:textId="77777777" w:rsidTr="00E7599D">
        <w:tc>
          <w:tcPr>
            <w:tcW w:w="2547" w:type="dxa"/>
          </w:tcPr>
          <w:p w14:paraId="072024A3" w14:textId="2FBF64D3" w:rsidR="00AC4246" w:rsidRDefault="00AC4246" w:rsidP="00B016E9">
            <w:pPr>
              <w:rPr>
                <w:rFonts w:ascii="Times New Roman" w:hAnsi="Times New Roman" w:cs="Times New Roman"/>
              </w:rPr>
            </w:pPr>
            <w:r>
              <w:rPr>
                <w:rFonts w:ascii="Times New Roman" w:hAnsi="Times New Roman" w:cs="Times New Roman"/>
              </w:rPr>
              <w:t>S-</w:t>
            </w:r>
            <w:proofErr w:type="spellStart"/>
            <w:r>
              <w:rPr>
                <w:rFonts w:ascii="Times New Roman" w:hAnsi="Times New Roman" w:cs="Times New Roman"/>
              </w:rPr>
              <w:t>eq</w:t>
            </w:r>
            <w:proofErr w:type="spellEnd"/>
            <w:r w:rsidR="00DA67F0">
              <w:rPr>
                <w:rFonts w:ascii="Times New Roman" w:hAnsi="Times New Roman" w:cs="Times New Roman"/>
              </w:rPr>
              <w:t xml:space="preserve"> (c – yellow)</w:t>
            </w:r>
          </w:p>
        </w:tc>
        <w:tc>
          <w:tcPr>
            <w:tcW w:w="1204" w:type="dxa"/>
            <w:vMerge/>
          </w:tcPr>
          <w:p w14:paraId="772A39DC" w14:textId="77777777" w:rsidR="00AC4246" w:rsidRDefault="00AC4246" w:rsidP="00B016E9">
            <w:pPr>
              <w:jc w:val="right"/>
              <w:rPr>
                <w:rFonts w:ascii="Times New Roman" w:hAnsi="Times New Roman" w:cs="Times New Roman"/>
              </w:rPr>
            </w:pPr>
          </w:p>
        </w:tc>
        <w:tc>
          <w:tcPr>
            <w:tcW w:w="1064" w:type="dxa"/>
          </w:tcPr>
          <w:p w14:paraId="29FA930D" w14:textId="77777777" w:rsidR="00AC4246" w:rsidRDefault="00AC4246" w:rsidP="00B016E9">
            <w:pPr>
              <w:jc w:val="right"/>
              <w:rPr>
                <w:rFonts w:ascii="Times New Roman" w:hAnsi="Times New Roman" w:cs="Times New Roman"/>
              </w:rPr>
            </w:pPr>
            <w:r>
              <w:rPr>
                <w:rFonts w:ascii="Times New Roman" w:hAnsi="Times New Roman" w:cs="Times New Roman"/>
              </w:rPr>
              <w:t>2656</w:t>
            </w:r>
          </w:p>
        </w:tc>
        <w:tc>
          <w:tcPr>
            <w:tcW w:w="1134" w:type="dxa"/>
          </w:tcPr>
          <w:p w14:paraId="0CE82361" w14:textId="77777777" w:rsidR="00AC4246" w:rsidRDefault="00AC4246" w:rsidP="00B016E9">
            <w:pPr>
              <w:jc w:val="right"/>
              <w:rPr>
                <w:rFonts w:ascii="Times New Roman" w:hAnsi="Times New Roman" w:cs="Times New Roman"/>
              </w:rPr>
            </w:pPr>
            <w:r>
              <w:rPr>
                <w:rFonts w:ascii="Times New Roman" w:hAnsi="Times New Roman" w:cs="Times New Roman"/>
              </w:rPr>
              <w:t>7</w:t>
            </w:r>
          </w:p>
        </w:tc>
        <w:tc>
          <w:tcPr>
            <w:tcW w:w="1134" w:type="dxa"/>
            <w:vMerge/>
          </w:tcPr>
          <w:p w14:paraId="40A208EB" w14:textId="77777777" w:rsidR="00AC4246" w:rsidRDefault="00AC4246" w:rsidP="00B016E9">
            <w:pPr>
              <w:jc w:val="right"/>
              <w:rPr>
                <w:rFonts w:ascii="Times New Roman" w:hAnsi="Times New Roman" w:cs="Times New Roman"/>
              </w:rPr>
            </w:pPr>
          </w:p>
        </w:tc>
        <w:tc>
          <w:tcPr>
            <w:tcW w:w="992" w:type="dxa"/>
          </w:tcPr>
          <w:p w14:paraId="233D008E"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941" w:type="dxa"/>
          </w:tcPr>
          <w:p w14:paraId="764B119D" w14:textId="77777777" w:rsidR="00AC4246" w:rsidRDefault="00AC4246" w:rsidP="00B016E9">
            <w:pPr>
              <w:jc w:val="right"/>
              <w:rPr>
                <w:rFonts w:ascii="Times New Roman" w:hAnsi="Times New Roman" w:cs="Times New Roman"/>
              </w:rPr>
            </w:pPr>
            <w:r>
              <w:rPr>
                <w:rFonts w:ascii="Times New Roman" w:hAnsi="Times New Roman" w:cs="Times New Roman"/>
              </w:rPr>
              <w:t>0.00</w:t>
            </w:r>
          </w:p>
        </w:tc>
      </w:tr>
      <w:tr w:rsidR="00E7599D" w:rsidRPr="000B6300" w14:paraId="4E6C7FF1" w14:textId="77777777" w:rsidTr="00E7599D">
        <w:tc>
          <w:tcPr>
            <w:tcW w:w="2547" w:type="dxa"/>
          </w:tcPr>
          <w:p w14:paraId="5BC8FD99" w14:textId="61B67BE9" w:rsidR="00AC4246" w:rsidRDefault="00DA67F0" w:rsidP="00B016E9">
            <w:pPr>
              <w:rPr>
                <w:rFonts w:ascii="Times New Roman" w:hAnsi="Times New Roman" w:cs="Times New Roman"/>
              </w:rPr>
            </w:pPr>
            <w:r>
              <w:rPr>
                <w:rFonts w:ascii="Times New Roman" w:hAnsi="Times New Roman" w:cs="Times New Roman"/>
              </w:rPr>
              <w:t>All v</w:t>
            </w:r>
            <w:r w:rsidR="00AC4246">
              <w:rPr>
                <w:rFonts w:ascii="Times New Roman" w:hAnsi="Times New Roman" w:cs="Times New Roman"/>
              </w:rPr>
              <w:t>olatiles</w:t>
            </w:r>
            <w:r>
              <w:rPr>
                <w:rFonts w:ascii="Times New Roman" w:hAnsi="Times New Roman" w:cs="Times New Roman"/>
              </w:rPr>
              <w:t xml:space="preserve"> (c – grey)</w:t>
            </w:r>
            <w:r w:rsidR="00AC4246">
              <w:rPr>
                <w:rFonts w:ascii="Times New Roman" w:hAnsi="Times New Roman" w:cs="Times New Roman"/>
              </w:rPr>
              <w:t xml:space="preserve"> </w:t>
            </w:r>
          </w:p>
        </w:tc>
        <w:tc>
          <w:tcPr>
            <w:tcW w:w="1204" w:type="dxa"/>
            <w:vMerge/>
          </w:tcPr>
          <w:p w14:paraId="48B5CFD1" w14:textId="77777777" w:rsidR="00AC4246" w:rsidRDefault="00AC4246" w:rsidP="00B016E9">
            <w:pPr>
              <w:jc w:val="right"/>
              <w:rPr>
                <w:rFonts w:ascii="Times New Roman" w:hAnsi="Times New Roman" w:cs="Times New Roman"/>
              </w:rPr>
            </w:pPr>
          </w:p>
        </w:tc>
        <w:tc>
          <w:tcPr>
            <w:tcW w:w="1064" w:type="dxa"/>
          </w:tcPr>
          <w:p w14:paraId="01F25AB9" w14:textId="77777777" w:rsidR="00AC4246" w:rsidRDefault="00AC4246" w:rsidP="00B016E9">
            <w:pPr>
              <w:jc w:val="right"/>
              <w:rPr>
                <w:rFonts w:ascii="Times New Roman" w:hAnsi="Times New Roman" w:cs="Times New Roman"/>
              </w:rPr>
            </w:pPr>
            <w:r>
              <w:rPr>
                <w:rFonts w:ascii="Times New Roman" w:hAnsi="Times New Roman" w:cs="Times New Roman"/>
              </w:rPr>
              <w:t>2683</w:t>
            </w:r>
          </w:p>
        </w:tc>
        <w:tc>
          <w:tcPr>
            <w:tcW w:w="1134" w:type="dxa"/>
          </w:tcPr>
          <w:p w14:paraId="498F1DDC" w14:textId="77777777" w:rsidR="00AC4246" w:rsidRDefault="00AC4246" w:rsidP="00B016E9">
            <w:pPr>
              <w:jc w:val="right"/>
              <w:rPr>
                <w:rFonts w:ascii="Times New Roman" w:hAnsi="Times New Roman" w:cs="Times New Roman"/>
              </w:rPr>
            </w:pPr>
            <w:r>
              <w:rPr>
                <w:rFonts w:ascii="Times New Roman" w:hAnsi="Times New Roman" w:cs="Times New Roman"/>
              </w:rPr>
              <w:t>209</w:t>
            </w:r>
          </w:p>
        </w:tc>
        <w:tc>
          <w:tcPr>
            <w:tcW w:w="1134" w:type="dxa"/>
            <w:vMerge/>
          </w:tcPr>
          <w:p w14:paraId="127952AD" w14:textId="77777777" w:rsidR="00AC4246" w:rsidRDefault="00AC4246" w:rsidP="00B016E9">
            <w:pPr>
              <w:jc w:val="right"/>
              <w:rPr>
                <w:rFonts w:ascii="Times New Roman" w:hAnsi="Times New Roman" w:cs="Times New Roman"/>
              </w:rPr>
            </w:pPr>
          </w:p>
        </w:tc>
        <w:tc>
          <w:tcPr>
            <w:tcW w:w="992" w:type="dxa"/>
          </w:tcPr>
          <w:p w14:paraId="5365617B" w14:textId="77777777" w:rsidR="00AC4246" w:rsidRDefault="00AC4246" w:rsidP="00B016E9">
            <w:pPr>
              <w:jc w:val="right"/>
              <w:rPr>
                <w:rFonts w:ascii="Times New Roman" w:hAnsi="Times New Roman" w:cs="Times New Roman"/>
              </w:rPr>
            </w:pPr>
            <w:r>
              <w:rPr>
                <w:rFonts w:ascii="Times New Roman" w:hAnsi="Times New Roman" w:cs="Times New Roman"/>
              </w:rPr>
              <w:t>1.19</w:t>
            </w:r>
          </w:p>
        </w:tc>
        <w:tc>
          <w:tcPr>
            <w:tcW w:w="941" w:type="dxa"/>
          </w:tcPr>
          <w:p w14:paraId="73599315" w14:textId="77777777" w:rsidR="00AC4246" w:rsidRDefault="00AC4246" w:rsidP="00B016E9">
            <w:pPr>
              <w:jc w:val="right"/>
              <w:rPr>
                <w:rFonts w:ascii="Times New Roman" w:hAnsi="Times New Roman" w:cs="Times New Roman"/>
              </w:rPr>
            </w:pPr>
            <w:r>
              <w:rPr>
                <w:rFonts w:ascii="Times New Roman" w:hAnsi="Times New Roman" w:cs="Times New Roman"/>
              </w:rPr>
              <w:t>0.00</w:t>
            </w:r>
          </w:p>
        </w:tc>
      </w:tr>
      <w:tr w:rsidR="00E7599D" w:rsidRPr="000B6300" w14:paraId="04D55615" w14:textId="77777777" w:rsidTr="00E7599D">
        <w:tc>
          <w:tcPr>
            <w:tcW w:w="2547" w:type="dxa"/>
          </w:tcPr>
          <w:p w14:paraId="33752F5F" w14:textId="08268D36" w:rsidR="00AC4246" w:rsidRPr="000B6300" w:rsidRDefault="00AC4246" w:rsidP="00B016E9">
            <w:pPr>
              <w:rPr>
                <w:rFonts w:ascii="Times New Roman" w:hAnsi="Times New Roman" w:cs="Times New Roman"/>
              </w:rPr>
            </w:pPr>
            <w:r>
              <w:rPr>
                <w:rFonts w:ascii="Times New Roman" w:hAnsi="Times New Roman" w:cs="Times New Roman"/>
              </w:rPr>
              <w:t>All</w:t>
            </w:r>
            <w:r w:rsidR="00DA67F0">
              <w:rPr>
                <w:rFonts w:ascii="Times New Roman" w:hAnsi="Times New Roman" w:cs="Times New Roman"/>
              </w:rPr>
              <w:t xml:space="preserve"> parameters (d)</w:t>
            </w:r>
          </w:p>
        </w:tc>
        <w:tc>
          <w:tcPr>
            <w:tcW w:w="1204" w:type="dxa"/>
            <w:vMerge/>
          </w:tcPr>
          <w:p w14:paraId="31A71BCA" w14:textId="77777777" w:rsidR="00AC4246" w:rsidRDefault="00AC4246" w:rsidP="00B016E9">
            <w:pPr>
              <w:jc w:val="right"/>
              <w:rPr>
                <w:rFonts w:ascii="Times New Roman" w:hAnsi="Times New Roman" w:cs="Times New Roman"/>
              </w:rPr>
            </w:pPr>
          </w:p>
        </w:tc>
        <w:tc>
          <w:tcPr>
            <w:tcW w:w="1064" w:type="dxa"/>
          </w:tcPr>
          <w:p w14:paraId="72E1EAC6" w14:textId="77777777" w:rsidR="00AC4246" w:rsidRDefault="00AC4246" w:rsidP="00B016E9">
            <w:pPr>
              <w:jc w:val="right"/>
              <w:rPr>
                <w:rFonts w:ascii="Times New Roman" w:hAnsi="Times New Roman" w:cs="Times New Roman"/>
              </w:rPr>
            </w:pPr>
            <w:r>
              <w:rPr>
                <w:rFonts w:ascii="Times New Roman" w:hAnsi="Times New Roman" w:cs="Times New Roman"/>
              </w:rPr>
              <w:t>2682</w:t>
            </w:r>
          </w:p>
        </w:tc>
        <w:tc>
          <w:tcPr>
            <w:tcW w:w="1134" w:type="dxa"/>
          </w:tcPr>
          <w:p w14:paraId="5FF89854" w14:textId="77777777" w:rsidR="00AC4246" w:rsidRDefault="00AC4246" w:rsidP="00B016E9">
            <w:pPr>
              <w:jc w:val="right"/>
              <w:rPr>
                <w:rFonts w:ascii="Times New Roman" w:hAnsi="Times New Roman" w:cs="Times New Roman"/>
              </w:rPr>
            </w:pPr>
            <w:r>
              <w:rPr>
                <w:rFonts w:ascii="Times New Roman" w:hAnsi="Times New Roman" w:cs="Times New Roman"/>
              </w:rPr>
              <w:t>210</w:t>
            </w:r>
          </w:p>
        </w:tc>
        <w:tc>
          <w:tcPr>
            <w:tcW w:w="1134" w:type="dxa"/>
            <w:vMerge/>
          </w:tcPr>
          <w:p w14:paraId="5EF8A5A8" w14:textId="77777777" w:rsidR="00AC4246" w:rsidRDefault="00AC4246" w:rsidP="00B016E9">
            <w:pPr>
              <w:jc w:val="right"/>
              <w:rPr>
                <w:rFonts w:ascii="Times New Roman" w:hAnsi="Times New Roman" w:cs="Times New Roman"/>
              </w:rPr>
            </w:pPr>
          </w:p>
        </w:tc>
        <w:tc>
          <w:tcPr>
            <w:tcW w:w="992" w:type="dxa"/>
          </w:tcPr>
          <w:p w14:paraId="03F80164" w14:textId="77777777" w:rsidR="00AC4246" w:rsidRDefault="00AC4246" w:rsidP="00B016E9">
            <w:pPr>
              <w:jc w:val="right"/>
              <w:rPr>
                <w:rFonts w:ascii="Times New Roman" w:hAnsi="Times New Roman" w:cs="Times New Roman"/>
              </w:rPr>
            </w:pPr>
            <w:r>
              <w:rPr>
                <w:rFonts w:ascii="Times New Roman" w:hAnsi="Times New Roman" w:cs="Times New Roman"/>
              </w:rPr>
              <w:t>1.18</w:t>
            </w:r>
          </w:p>
        </w:tc>
        <w:tc>
          <w:tcPr>
            <w:tcW w:w="941" w:type="dxa"/>
          </w:tcPr>
          <w:p w14:paraId="5C5A0742" w14:textId="77777777" w:rsidR="00AC4246" w:rsidRDefault="00AC4246" w:rsidP="00B016E9">
            <w:pPr>
              <w:jc w:val="right"/>
              <w:rPr>
                <w:rFonts w:ascii="Times New Roman" w:hAnsi="Times New Roman" w:cs="Times New Roman"/>
              </w:rPr>
            </w:pPr>
            <w:r>
              <w:rPr>
                <w:rFonts w:ascii="Times New Roman" w:hAnsi="Times New Roman" w:cs="Times New Roman"/>
              </w:rPr>
              <w:t>0.10</w:t>
            </w:r>
          </w:p>
        </w:tc>
      </w:tr>
      <w:tr w:rsidR="00E7599D" w:rsidRPr="005339B8" w14:paraId="6581CA14" w14:textId="77777777" w:rsidTr="00E7599D">
        <w:tc>
          <w:tcPr>
            <w:tcW w:w="2547" w:type="dxa"/>
          </w:tcPr>
          <w:p w14:paraId="075414B6" w14:textId="6DBDD7D4" w:rsidR="00AC4246" w:rsidRPr="005339B8" w:rsidRDefault="00DA67F0" w:rsidP="00B016E9">
            <w:pPr>
              <w:rPr>
                <w:rFonts w:ascii="Times New Roman" w:hAnsi="Times New Roman" w:cs="Times New Roman"/>
              </w:rPr>
            </w:pPr>
            <w:r>
              <w:rPr>
                <w:rFonts w:ascii="Times New Roman" w:hAnsi="Times New Roman" w:cs="Times New Roman"/>
              </w:rPr>
              <w:t>All parameters (d)</w:t>
            </w:r>
          </w:p>
        </w:tc>
        <w:tc>
          <w:tcPr>
            <w:tcW w:w="1204" w:type="dxa"/>
          </w:tcPr>
          <w:p w14:paraId="3FAB3C9F" w14:textId="77777777" w:rsidR="00AC4246" w:rsidRDefault="00AC4246" w:rsidP="00B016E9">
            <w:pPr>
              <w:jc w:val="right"/>
              <w:rPr>
                <w:rFonts w:ascii="Times New Roman" w:hAnsi="Times New Roman" w:cs="Times New Roman"/>
              </w:rPr>
            </w:pPr>
            <w:r>
              <w:rPr>
                <w:rFonts w:ascii="Times New Roman" w:hAnsi="Times New Roman" w:cs="Times New Roman"/>
              </w:rPr>
              <w:t>2618</w:t>
            </w:r>
          </w:p>
        </w:tc>
        <w:tc>
          <w:tcPr>
            <w:tcW w:w="1064" w:type="dxa"/>
          </w:tcPr>
          <w:p w14:paraId="27416393" w14:textId="77777777" w:rsidR="00AC4246" w:rsidRPr="005339B8" w:rsidRDefault="00AC4246" w:rsidP="00B016E9">
            <w:pPr>
              <w:jc w:val="right"/>
              <w:rPr>
                <w:rFonts w:ascii="Times New Roman" w:hAnsi="Times New Roman" w:cs="Times New Roman"/>
              </w:rPr>
            </w:pPr>
            <w:r>
              <w:rPr>
                <w:rFonts w:ascii="Times New Roman" w:hAnsi="Times New Roman" w:cs="Times New Roman"/>
              </w:rPr>
              <w:t>2590</w:t>
            </w:r>
          </w:p>
        </w:tc>
        <w:tc>
          <w:tcPr>
            <w:tcW w:w="1134" w:type="dxa"/>
          </w:tcPr>
          <w:p w14:paraId="1295C0A4" w14:textId="77777777" w:rsidR="00AC4246" w:rsidRPr="005339B8" w:rsidRDefault="00AC4246" w:rsidP="00B016E9">
            <w:pPr>
              <w:jc w:val="right"/>
              <w:rPr>
                <w:rFonts w:ascii="Times New Roman" w:hAnsi="Times New Roman" w:cs="Times New Roman"/>
              </w:rPr>
            </w:pPr>
            <w:r>
              <w:rPr>
                <w:rFonts w:ascii="Times New Roman" w:hAnsi="Times New Roman" w:cs="Times New Roman"/>
              </w:rPr>
              <w:t>215</w:t>
            </w:r>
          </w:p>
        </w:tc>
        <w:tc>
          <w:tcPr>
            <w:tcW w:w="1134" w:type="dxa"/>
          </w:tcPr>
          <w:p w14:paraId="160C1CF0" w14:textId="77777777" w:rsidR="00AC4246" w:rsidRDefault="00AC4246" w:rsidP="00B016E9">
            <w:pPr>
              <w:jc w:val="right"/>
              <w:rPr>
                <w:rFonts w:ascii="Times New Roman" w:hAnsi="Times New Roman" w:cs="Times New Roman"/>
              </w:rPr>
            </w:pPr>
            <w:r>
              <w:rPr>
                <w:rFonts w:ascii="Times New Roman" w:hAnsi="Times New Roman" w:cs="Times New Roman"/>
              </w:rPr>
              <w:t>+0.19</w:t>
            </w:r>
          </w:p>
        </w:tc>
        <w:tc>
          <w:tcPr>
            <w:tcW w:w="992" w:type="dxa"/>
          </w:tcPr>
          <w:p w14:paraId="69BECFFE" w14:textId="77777777" w:rsidR="00AC4246" w:rsidRPr="005339B8" w:rsidRDefault="00AC4246" w:rsidP="00B016E9">
            <w:pPr>
              <w:jc w:val="right"/>
              <w:rPr>
                <w:rFonts w:ascii="Times New Roman" w:hAnsi="Times New Roman" w:cs="Times New Roman"/>
              </w:rPr>
            </w:pPr>
            <w:r>
              <w:rPr>
                <w:rFonts w:ascii="Times New Roman" w:hAnsi="Times New Roman" w:cs="Times New Roman"/>
              </w:rPr>
              <w:t>0.20</w:t>
            </w:r>
          </w:p>
        </w:tc>
        <w:tc>
          <w:tcPr>
            <w:tcW w:w="941" w:type="dxa"/>
          </w:tcPr>
          <w:p w14:paraId="583E34F0" w14:textId="77777777" w:rsidR="00AC4246" w:rsidRPr="005339B8" w:rsidRDefault="00AC4246" w:rsidP="00B016E9">
            <w:pPr>
              <w:jc w:val="right"/>
              <w:rPr>
                <w:rFonts w:ascii="Times New Roman" w:hAnsi="Times New Roman" w:cs="Times New Roman"/>
              </w:rPr>
            </w:pPr>
            <w:r>
              <w:rPr>
                <w:rFonts w:ascii="Times New Roman" w:hAnsi="Times New Roman" w:cs="Times New Roman"/>
              </w:rPr>
              <w:t>0.17</w:t>
            </w:r>
          </w:p>
        </w:tc>
      </w:tr>
      <w:tr w:rsidR="00E7599D" w:rsidRPr="005339B8" w14:paraId="3BC2C304" w14:textId="77777777" w:rsidTr="00E7599D">
        <w:tc>
          <w:tcPr>
            <w:tcW w:w="2547" w:type="dxa"/>
          </w:tcPr>
          <w:p w14:paraId="3F325AE0" w14:textId="270DBFED" w:rsidR="00AC4246" w:rsidRPr="005339B8" w:rsidRDefault="00DA67F0" w:rsidP="00B016E9">
            <w:pPr>
              <w:rPr>
                <w:rFonts w:ascii="Times New Roman" w:hAnsi="Times New Roman" w:cs="Times New Roman"/>
              </w:rPr>
            </w:pPr>
            <w:r>
              <w:rPr>
                <w:rFonts w:ascii="Times New Roman" w:hAnsi="Times New Roman" w:cs="Times New Roman"/>
              </w:rPr>
              <w:t>All parameters (d)</w:t>
            </w:r>
          </w:p>
        </w:tc>
        <w:tc>
          <w:tcPr>
            <w:tcW w:w="1204" w:type="dxa"/>
          </w:tcPr>
          <w:p w14:paraId="09D515A6" w14:textId="77777777" w:rsidR="00AC4246" w:rsidRDefault="00AC4246" w:rsidP="00B016E9">
            <w:pPr>
              <w:jc w:val="right"/>
              <w:rPr>
                <w:rFonts w:ascii="Times New Roman" w:hAnsi="Times New Roman" w:cs="Times New Roman"/>
              </w:rPr>
            </w:pPr>
            <w:r>
              <w:rPr>
                <w:rFonts w:ascii="Times New Roman" w:hAnsi="Times New Roman" w:cs="Times New Roman"/>
              </w:rPr>
              <w:t>2617</w:t>
            </w:r>
          </w:p>
        </w:tc>
        <w:tc>
          <w:tcPr>
            <w:tcW w:w="1064" w:type="dxa"/>
          </w:tcPr>
          <w:p w14:paraId="4EAC45B7" w14:textId="77777777" w:rsidR="00AC4246" w:rsidRDefault="00AC4246" w:rsidP="00B016E9">
            <w:pPr>
              <w:jc w:val="right"/>
              <w:rPr>
                <w:rFonts w:ascii="Times New Roman" w:hAnsi="Times New Roman" w:cs="Times New Roman"/>
              </w:rPr>
            </w:pPr>
            <w:r>
              <w:rPr>
                <w:rFonts w:ascii="Times New Roman" w:hAnsi="Times New Roman" w:cs="Times New Roman"/>
              </w:rPr>
              <w:t>2606</w:t>
            </w:r>
          </w:p>
        </w:tc>
        <w:tc>
          <w:tcPr>
            <w:tcW w:w="1134" w:type="dxa"/>
          </w:tcPr>
          <w:p w14:paraId="41FB511A" w14:textId="77777777" w:rsidR="00AC4246" w:rsidRDefault="00AC4246" w:rsidP="00B016E9">
            <w:pPr>
              <w:jc w:val="right"/>
              <w:rPr>
                <w:rFonts w:ascii="Times New Roman" w:hAnsi="Times New Roman" w:cs="Times New Roman"/>
              </w:rPr>
            </w:pPr>
            <w:r>
              <w:rPr>
                <w:rFonts w:ascii="Times New Roman" w:hAnsi="Times New Roman" w:cs="Times New Roman"/>
              </w:rPr>
              <w:t>185</w:t>
            </w:r>
          </w:p>
        </w:tc>
        <w:tc>
          <w:tcPr>
            <w:tcW w:w="1134" w:type="dxa"/>
          </w:tcPr>
          <w:p w14:paraId="61632131" w14:textId="77777777" w:rsidR="00AC4246" w:rsidRDefault="00AC4246" w:rsidP="00B016E9">
            <w:pPr>
              <w:jc w:val="right"/>
              <w:rPr>
                <w:rFonts w:ascii="Times New Roman" w:hAnsi="Times New Roman" w:cs="Times New Roman"/>
              </w:rPr>
            </w:pPr>
            <w:r>
              <w:rPr>
                <w:rFonts w:ascii="Times New Roman" w:hAnsi="Times New Roman" w:cs="Times New Roman"/>
              </w:rPr>
              <w:t>+2.00</w:t>
            </w:r>
          </w:p>
        </w:tc>
        <w:tc>
          <w:tcPr>
            <w:tcW w:w="992" w:type="dxa"/>
          </w:tcPr>
          <w:p w14:paraId="32FD5155" w14:textId="77777777" w:rsidR="00AC4246" w:rsidRDefault="00AC4246" w:rsidP="00B016E9">
            <w:pPr>
              <w:jc w:val="right"/>
              <w:rPr>
                <w:rFonts w:ascii="Times New Roman" w:hAnsi="Times New Roman" w:cs="Times New Roman"/>
              </w:rPr>
            </w:pPr>
            <w:r>
              <w:rPr>
                <w:rFonts w:ascii="Times New Roman" w:hAnsi="Times New Roman" w:cs="Times New Roman"/>
              </w:rPr>
              <w:t>1.98</w:t>
            </w:r>
          </w:p>
        </w:tc>
        <w:tc>
          <w:tcPr>
            <w:tcW w:w="941" w:type="dxa"/>
          </w:tcPr>
          <w:p w14:paraId="3B25FF5F" w14:textId="77777777" w:rsidR="00AC4246" w:rsidRDefault="00AC4246" w:rsidP="00B016E9">
            <w:pPr>
              <w:jc w:val="right"/>
              <w:rPr>
                <w:rFonts w:ascii="Times New Roman" w:hAnsi="Times New Roman" w:cs="Times New Roman"/>
              </w:rPr>
            </w:pPr>
            <w:r>
              <w:rPr>
                <w:rFonts w:ascii="Times New Roman" w:hAnsi="Times New Roman" w:cs="Times New Roman"/>
              </w:rPr>
              <w:t>0.09</w:t>
            </w:r>
          </w:p>
        </w:tc>
      </w:tr>
      <w:tr w:rsidR="00E7599D" w:rsidRPr="005339B8" w14:paraId="6CFF1D68" w14:textId="77777777" w:rsidTr="00E7599D">
        <w:tc>
          <w:tcPr>
            <w:tcW w:w="2547" w:type="dxa"/>
          </w:tcPr>
          <w:p w14:paraId="39C052AF" w14:textId="5588ADC1" w:rsidR="00AC4246" w:rsidRPr="005339B8" w:rsidRDefault="00DA67F0" w:rsidP="00B016E9">
            <w:pPr>
              <w:rPr>
                <w:rFonts w:ascii="Times New Roman" w:hAnsi="Times New Roman" w:cs="Times New Roman"/>
              </w:rPr>
            </w:pPr>
            <w:r>
              <w:rPr>
                <w:rFonts w:ascii="Times New Roman" w:hAnsi="Times New Roman" w:cs="Times New Roman"/>
              </w:rPr>
              <w:t>All parameters (d)</w:t>
            </w:r>
          </w:p>
        </w:tc>
        <w:tc>
          <w:tcPr>
            <w:tcW w:w="1204" w:type="dxa"/>
          </w:tcPr>
          <w:p w14:paraId="2230E270" w14:textId="77777777" w:rsidR="00AC4246" w:rsidRDefault="00AC4246" w:rsidP="00B016E9">
            <w:pPr>
              <w:jc w:val="right"/>
              <w:rPr>
                <w:rFonts w:ascii="Times New Roman" w:hAnsi="Times New Roman" w:cs="Times New Roman"/>
              </w:rPr>
            </w:pPr>
            <w:r>
              <w:rPr>
                <w:rFonts w:ascii="Times New Roman" w:hAnsi="Times New Roman" w:cs="Times New Roman"/>
              </w:rPr>
              <w:t>2912</w:t>
            </w:r>
          </w:p>
        </w:tc>
        <w:tc>
          <w:tcPr>
            <w:tcW w:w="1064" w:type="dxa"/>
          </w:tcPr>
          <w:p w14:paraId="486B9484" w14:textId="77777777" w:rsidR="00AC4246" w:rsidRDefault="00AC4246" w:rsidP="00B016E9">
            <w:pPr>
              <w:jc w:val="right"/>
              <w:rPr>
                <w:rFonts w:ascii="Times New Roman" w:hAnsi="Times New Roman" w:cs="Times New Roman"/>
              </w:rPr>
            </w:pPr>
            <w:r>
              <w:rPr>
                <w:rFonts w:ascii="Times New Roman" w:hAnsi="Times New Roman" w:cs="Times New Roman"/>
              </w:rPr>
              <w:t>2951</w:t>
            </w:r>
          </w:p>
        </w:tc>
        <w:tc>
          <w:tcPr>
            <w:tcW w:w="1134" w:type="dxa"/>
          </w:tcPr>
          <w:p w14:paraId="622D5DC6" w14:textId="77777777" w:rsidR="00AC4246" w:rsidRDefault="00AC4246" w:rsidP="00B016E9">
            <w:pPr>
              <w:jc w:val="right"/>
              <w:rPr>
                <w:rFonts w:ascii="Times New Roman" w:hAnsi="Times New Roman" w:cs="Times New Roman"/>
              </w:rPr>
            </w:pPr>
            <w:r>
              <w:rPr>
                <w:rFonts w:ascii="Times New Roman" w:hAnsi="Times New Roman" w:cs="Times New Roman"/>
              </w:rPr>
              <w:t>233</w:t>
            </w:r>
          </w:p>
        </w:tc>
        <w:tc>
          <w:tcPr>
            <w:tcW w:w="1134" w:type="dxa"/>
          </w:tcPr>
          <w:p w14:paraId="01735C43" w14:textId="77777777" w:rsidR="00AC4246" w:rsidRDefault="00AC4246" w:rsidP="00B016E9">
            <w:pPr>
              <w:jc w:val="right"/>
              <w:rPr>
                <w:rFonts w:ascii="Times New Roman" w:hAnsi="Times New Roman" w:cs="Times New Roman"/>
              </w:rPr>
            </w:pPr>
            <w:r>
              <w:rPr>
                <w:rFonts w:ascii="Times New Roman" w:hAnsi="Times New Roman" w:cs="Times New Roman"/>
              </w:rPr>
              <w:t>-2.02</w:t>
            </w:r>
          </w:p>
        </w:tc>
        <w:tc>
          <w:tcPr>
            <w:tcW w:w="992" w:type="dxa"/>
          </w:tcPr>
          <w:p w14:paraId="41A715F6" w14:textId="77777777" w:rsidR="00AC4246" w:rsidRDefault="00AC4246" w:rsidP="00B016E9">
            <w:pPr>
              <w:jc w:val="right"/>
              <w:rPr>
                <w:rFonts w:ascii="Times New Roman" w:hAnsi="Times New Roman" w:cs="Times New Roman"/>
              </w:rPr>
            </w:pPr>
            <w:r>
              <w:rPr>
                <w:rFonts w:ascii="Times New Roman" w:hAnsi="Times New Roman" w:cs="Times New Roman"/>
              </w:rPr>
              <w:t>-2.06</w:t>
            </w:r>
          </w:p>
        </w:tc>
        <w:tc>
          <w:tcPr>
            <w:tcW w:w="941" w:type="dxa"/>
          </w:tcPr>
          <w:p w14:paraId="42024ADF" w14:textId="77777777" w:rsidR="00AC4246" w:rsidRDefault="00AC4246" w:rsidP="00B016E9">
            <w:pPr>
              <w:jc w:val="right"/>
              <w:rPr>
                <w:rFonts w:ascii="Times New Roman" w:hAnsi="Times New Roman" w:cs="Times New Roman"/>
              </w:rPr>
            </w:pPr>
            <w:r>
              <w:rPr>
                <w:rFonts w:ascii="Times New Roman" w:hAnsi="Times New Roman" w:cs="Times New Roman"/>
              </w:rPr>
              <w:t>0.38</w:t>
            </w:r>
          </w:p>
        </w:tc>
      </w:tr>
    </w:tbl>
    <w:p w14:paraId="100B8F8C" w14:textId="77777777" w:rsidR="00AC4246" w:rsidRDefault="00AC4246" w:rsidP="00372AD9">
      <w:pPr>
        <w:jc w:val="both"/>
        <w:rPr>
          <w:rFonts w:ascii="Times New Roman" w:hAnsi="Times New Roman" w:cs="Times New Roman"/>
        </w:rPr>
      </w:pPr>
    </w:p>
    <w:p w14:paraId="0CC17508" w14:textId="74B37730" w:rsidR="009C577A" w:rsidRDefault="009C577A" w:rsidP="00372AD9">
      <w:pPr>
        <w:jc w:val="both"/>
        <w:rPr>
          <w:rFonts w:ascii="Times New Roman" w:hAnsi="Times New Roman" w:cs="Times New Roman"/>
        </w:rPr>
      </w:pPr>
    </w:p>
    <w:p w14:paraId="23F070FD" w14:textId="11F5FBEC" w:rsidR="009C577A" w:rsidRDefault="009C577A" w:rsidP="009C577A">
      <w:pPr>
        <w:pStyle w:val="Heading1"/>
      </w:pPr>
      <w:r>
        <w:t>Vapor compositions for natural samples</w:t>
      </w:r>
    </w:p>
    <w:p w14:paraId="2033A7B9" w14:textId="7217A7BC" w:rsidR="003D6D5D" w:rsidRDefault="00D43EB5" w:rsidP="00147AF9">
      <w:pPr>
        <w:ind w:firstLine="432"/>
        <w:jc w:val="both"/>
        <w:rPr>
          <w:rFonts w:ascii="Times New Roman" w:hAnsi="Times New Roman" w:cs="Times New Roman"/>
        </w:rPr>
      </w:pPr>
      <w:r w:rsidRPr="00D43EB5">
        <w:rPr>
          <w:rFonts w:ascii="Times New Roman" w:hAnsi="Times New Roman" w:cs="Times New Roman"/>
        </w:rPr>
        <w:fldChar w:fldCharType="begin"/>
      </w:r>
      <w:r w:rsidRPr="00D43EB5">
        <w:rPr>
          <w:rFonts w:ascii="Times New Roman" w:hAnsi="Times New Roman" w:cs="Times New Roman"/>
        </w:rPr>
        <w:instrText xml:space="preserve"> REF _Ref127449512 \h </w:instrText>
      </w:r>
      <w:r>
        <w:rPr>
          <w:rFonts w:ascii="Times New Roman" w:hAnsi="Times New Roman" w:cs="Times New Roman"/>
        </w:rPr>
        <w:instrText xml:space="preserve"> \* MERGEFORMAT </w:instrText>
      </w:r>
      <w:r w:rsidRPr="00D43EB5">
        <w:rPr>
          <w:rFonts w:ascii="Times New Roman" w:hAnsi="Times New Roman" w:cs="Times New Roman"/>
        </w:rPr>
      </w:r>
      <w:r w:rsidRPr="00D43EB5">
        <w:rPr>
          <w:rFonts w:ascii="Times New Roman" w:hAnsi="Times New Roman" w:cs="Times New Roman"/>
        </w:rPr>
        <w:fldChar w:fldCharType="separate"/>
      </w:r>
      <w:r w:rsidRPr="00D43EB5">
        <w:rPr>
          <w:rFonts w:ascii="Times New Roman" w:hAnsi="Times New Roman" w:cs="Times New Roman"/>
          <w:color w:val="000000" w:themeColor="text1"/>
        </w:rPr>
        <w:t>Figure</w:t>
      </w:r>
      <w:r>
        <w:rPr>
          <w:rFonts w:ascii="Times New Roman" w:hAnsi="Times New Roman" w:cs="Times New Roman"/>
          <w:color w:val="000000" w:themeColor="text1"/>
        </w:rPr>
        <w:t>s</w:t>
      </w:r>
      <w:r w:rsidRPr="00D43EB5">
        <w:rPr>
          <w:rFonts w:ascii="Times New Roman" w:hAnsi="Times New Roman" w:cs="Times New Roman"/>
          <w:color w:val="000000" w:themeColor="text1"/>
        </w:rPr>
        <w:t xml:space="preserve"> S</w:t>
      </w:r>
      <w:r w:rsidRPr="00D43EB5">
        <w:rPr>
          <w:rFonts w:ascii="Times New Roman" w:hAnsi="Times New Roman" w:cs="Times New Roman"/>
          <w:noProof/>
          <w:color w:val="000000" w:themeColor="text1"/>
        </w:rPr>
        <w:t>18</w:t>
      </w:r>
      <w:r w:rsidRPr="00D43EB5">
        <w:rPr>
          <w:rFonts w:ascii="Times New Roman" w:hAnsi="Times New Roman" w:cs="Times New Roman"/>
        </w:rPr>
        <w:fldChar w:fldCharType="end"/>
      </w:r>
      <w:r>
        <w:rPr>
          <w:rFonts w:ascii="Times New Roman" w:hAnsi="Times New Roman" w:cs="Times New Roman"/>
        </w:rPr>
        <w:t>–</w:t>
      </w:r>
      <w:r w:rsidRPr="00D43EB5">
        <w:rPr>
          <w:rFonts w:ascii="Times New Roman" w:hAnsi="Times New Roman" w:cs="Times New Roman"/>
        </w:rPr>
        <w:fldChar w:fldCharType="begin"/>
      </w:r>
      <w:r w:rsidRPr="00D43EB5">
        <w:rPr>
          <w:rFonts w:ascii="Times New Roman" w:hAnsi="Times New Roman" w:cs="Times New Roman"/>
        </w:rPr>
        <w:instrText xml:space="preserve"> REF _Ref127449514 \h </w:instrText>
      </w:r>
      <w:r>
        <w:rPr>
          <w:rFonts w:ascii="Times New Roman" w:hAnsi="Times New Roman" w:cs="Times New Roman"/>
        </w:rPr>
        <w:instrText xml:space="preserve"> \* MERGEFORMAT </w:instrText>
      </w:r>
      <w:r w:rsidRPr="00D43EB5">
        <w:rPr>
          <w:rFonts w:ascii="Times New Roman" w:hAnsi="Times New Roman" w:cs="Times New Roman"/>
        </w:rPr>
      </w:r>
      <w:r w:rsidRPr="00D43EB5">
        <w:rPr>
          <w:rFonts w:ascii="Times New Roman" w:hAnsi="Times New Roman" w:cs="Times New Roman"/>
        </w:rPr>
        <w:fldChar w:fldCharType="separate"/>
      </w:r>
      <w:r w:rsidRPr="00D43EB5">
        <w:rPr>
          <w:rFonts w:ascii="Times New Roman" w:hAnsi="Times New Roman" w:cs="Times New Roman"/>
          <w:noProof/>
          <w:color w:val="000000" w:themeColor="text1"/>
        </w:rPr>
        <w:t>20</w:t>
      </w:r>
      <w:r w:rsidRPr="00D43EB5">
        <w:rPr>
          <w:rFonts w:ascii="Times New Roman" w:hAnsi="Times New Roman" w:cs="Times New Roman"/>
        </w:rPr>
        <w:fldChar w:fldCharType="end"/>
      </w:r>
      <w:r>
        <w:rPr>
          <w:rFonts w:ascii="Times New Roman" w:hAnsi="Times New Roman" w:cs="Times New Roman"/>
        </w:rPr>
        <w:t xml:space="preserve"> show the calculated vapor compositions in equilibrium with the measured volatile contents of matrix glasses and melt inclusions from MORB, OIB, and arc basalts at </w:t>
      </w:r>
      <w:proofErr w:type="spellStart"/>
      <w:r w:rsidRPr="00E9167C">
        <w:rPr>
          <w:rFonts w:ascii="Times New Roman" w:hAnsi="Times New Roman" w:cs="Times New Roman"/>
          <w:i/>
          <w:iCs/>
        </w:rPr>
        <w:t>P</w:t>
      </w:r>
      <w:r w:rsidRPr="00E9167C">
        <w:rPr>
          <w:rFonts w:ascii="Times New Roman" w:hAnsi="Times New Roman" w:cs="Times New Roman"/>
          <w:i/>
          <w:iCs/>
          <w:vertAlign w:val="superscript"/>
        </w:rPr>
        <w:t>v</w:t>
      </w:r>
      <w:r w:rsidRPr="00E9167C">
        <w:rPr>
          <w:rFonts w:ascii="Times New Roman" w:hAnsi="Times New Roman" w:cs="Times New Roman"/>
          <w:vertAlign w:val="subscript"/>
        </w:rPr>
        <w:t>sat</w:t>
      </w:r>
      <w:proofErr w:type="spellEnd"/>
      <w:r w:rsidR="001465A9">
        <w:rPr>
          <w:rFonts w:ascii="Times New Roman" w:hAnsi="Times New Roman" w:cs="Times New Roman"/>
        </w:rPr>
        <w:t>, which are shown as CO</w:t>
      </w:r>
      <w:r w:rsidR="001465A9" w:rsidRPr="004013A3">
        <w:rPr>
          <w:rFonts w:ascii="Times New Roman" w:hAnsi="Times New Roman" w:cs="Times New Roman"/>
          <w:vertAlign w:val="subscript"/>
        </w:rPr>
        <w:t>2</w:t>
      </w:r>
      <w:r w:rsidR="001465A9">
        <w:rPr>
          <w:rFonts w:ascii="Times New Roman" w:hAnsi="Times New Roman" w:cs="Times New Roman"/>
        </w:rPr>
        <w:t>-H</w:t>
      </w:r>
      <w:r w:rsidR="001465A9" w:rsidRPr="004013A3">
        <w:rPr>
          <w:rFonts w:ascii="Times New Roman" w:hAnsi="Times New Roman" w:cs="Times New Roman"/>
          <w:vertAlign w:val="subscript"/>
        </w:rPr>
        <w:t>2</w:t>
      </w:r>
      <w:r w:rsidR="001465A9">
        <w:rPr>
          <w:rFonts w:ascii="Times New Roman" w:hAnsi="Times New Roman" w:cs="Times New Roman"/>
        </w:rPr>
        <w:t>O-SO</w:t>
      </w:r>
      <w:r w:rsidR="001465A9" w:rsidRPr="004013A3">
        <w:rPr>
          <w:rFonts w:ascii="Times New Roman" w:hAnsi="Times New Roman" w:cs="Times New Roman"/>
          <w:vertAlign w:val="subscript"/>
        </w:rPr>
        <w:t>2</w:t>
      </w:r>
      <w:r w:rsidR="001465A9">
        <w:rPr>
          <w:rFonts w:ascii="Times New Roman" w:hAnsi="Times New Roman" w:cs="Times New Roman"/>
        </w:rPr>
        <w:t xml:space="preserve"> ternary diagrams in Figure S21.</w:t>
      </w:r>
    </w:p>
    <w:p w14:paraId="3030AE55" w14:textId="69E0CEAE" w:rsidR="003D6D5D" w:rsidRDefault="003D6D5D" w:rsidP="00E9167C">
      <w:pPr>
        <w:ind w:firstLine="720"/>
        <w:jc w:val="both"/>
        <w:rPr>
          <w:rFonts w:ascii="Times New Roman" w:hAnsi="Times New Roman"/>
        </w:rPr>
      </w:pPr>
      <w:r>
        <w:rPr>
          <w:rFonts w:ascii="Times New Roman" w:hAnsi="Times New Roman"/>
        </w:rPr>
        <w:t>The calculated vapor composition for MORBs is mostly CO</w:t>
      </w:r>
      <w:r w:rsidRPr="00F10327">
        <w:rPr>
          <w:rFonts w:ascii="Times New Roman" w:hAnsi="Times New Roman"/>
          <w:vertAlign w:val="subscript"/>
        </w:rPr>
        <w:t>2</w:t>
      </w:r>
      <w:r>
        <w:rPr>
          <w:rFonts w:ascii="Times New Roman" w:hAnsi="Times New Roman"/>
        </w:rPr>
        <w:t xml:space="preserve"> (&gt;75 mol%) with minor H</w:t>
      </w:r>
      <w:r w:rsidRPr="00F10327">
        <w:rPr>
          <w:rFonts w:ascii="Times New Roman" w:hAnsi="Times New Roman"/>
          <w:vertAlign w:val="subscript"/>
        </w:rPr>
        <w:t>2</w:t>
      </w:r>
      <w:r>
        <w:rPr>
          <w:rFonts w:ascii="Times New Roman" w:hAnsi="Times New Roman"/>
        </w:rPr>
        <w:t>O (&lt;17 mol%) and CO (&lt;8 mol%) and traces of other species (&lt;0.02 mol% for each species) (</w:t>
      </w:r>
      <w:r w:rsidRPr="00E9167C">
        <w:rPr>
          <w:rFonts w:ascii="Times New Roman" w:hAnsi="Times New Roman"/>
        </w:rPr>
        <w:t>Figure S18</w:t>
      </w:r>
      <w:r>
        <w:rPr>
          <w:rFonts w:ascii="Times New Roman" w:hAnsi="Times New Roman"/>
        </w:rPr>
        <w:t xml:space="preserve">). </w:t>
      </w:r>
      <w:proofErr w:type="spellStart"/>
      <w:r>
        <w:rPr>
          <w:rFonts w:ascii="Times New Roman" w:hAnsi="Times New Roman"/>
        </w:rPr>
        <w:t>Rekeyanes</w:t>
      </w:r>
      <w:proofErr w:type="spellEnd"/>
      <w:r>
        <w:rPr>
          <w:rFonts w:ascii="Times New Roman" w:hAnsi="Times New Roman"/>
        </w:rPr>
        <w:t xml:space="preserve"> Ridge samples are an exception, which are still mostly CO</w:t>
      </w:r>
      <w:r w:rsidRPr="00F10327">
        <w:rPr>
          <w:rFonts w:ascii="Times New Roman" w:hAnsi="Times New Roman"/>
          <w:vertAlign w:val="subscript"/>
        </w:rPr>
        <w:t>2</w:t>
      </w:r>
      <w:r>
        <w:rPr>
          <w:rFonts w:ascii="Times New Roman" w:hAnsi="Times New Roman"/>
        </w:rPr>
        <w:t xml:space="preserve"> (&gt;60 mol%) but have up to 22 mol% SO</w:t>
      </w:r>
      <w:r w:rsidRPr="00F10327">
        <w:rPr>
          <w:rFonts w:ascii="Times New Roman" w:hAnsi="Times New Roman"/>
          <w:vertAlign w:val="subscript"/>
        </w:rPr>
        <w:t>2</w:t>
      </w:r>
      <w:r>
        <w:rPr>
          <w:rFonts w:ascii="Times New Roman" w:hAnsi="Times New Roman"/>
        </w:rPr>
        <w:t xml:space="preserve"> (</w:t>
      </w:r>
      <w:r w:rsidRPr="002B6670">
        <w:rPr>
          <w:rFonts w:ascii="Times New Roman" w:hAnsi="Times New Roman"/>
        </w:rPr>
        <w:t>Figure S18</w:t>
      </w:r>
      <w:r>
        <w:rPr>
          <w:rFonts w:ascii="Times New Roman" w:hAnsi="Times New Roman"/>
        </w:rPr>
        <w:t xml:space="preserve">). This highlights that even being on the limb of the </w:t>
      </w:r>
      <w:proofErr w:type="spellStart"/>
      <w:r>
        <w:rPr>
          <w:rFonts w:ascii="Times New Roman" w:hAnsi="Times New Roman"/>
        </w:rPr>
        <w:t>SS</w:t>
      </w:r>
      <w:r w:rsidRPr="00F10327">
        <w:rPr>
          <w:rFonts w:ascii="Times New Roman" w:hAnsi="Times New Roman"/>
          <w:vertAlign w:val="superscript"/>
        </w:rPr>
        <w:t>min</w:t>
      </w:r>
      <w:proofErr w:type="spellEnd"/>
      <w:r>
        <w:rPr>
          <w:rFonts w:ascii="Times New Roman" w:hAnsi="Times New Roman"/>
        </w:rPr>
        <w:t xml:space="preserve"> influences the vapor composition when the H</w:t>
      </w:r>
      <w:r w:rsidRPr="00F10327">
        <w:rPr>
          <w:rFonts w:ascii="Times New Roman" w:hAnsi="Times New Roman"/>
          <w:vertAlign w:val="subscript"/>
        </w:rPr>
        <w:t>2</w:t>
      </w:r>
      <w:r>
        <w:rPr>
          <w:rFonts w:ascii="Times New Roman" w:hAnsi="Times New Roman"/>
        </w:rPr>
        <w:t>O and CO</w:t>
      </w:r>
      <w:r w:rsidRPr="00F10327">
        <w:rPr>
          <w:rFonts w:ascii="Times New Roman" w:hAnsi="Times New Roman"/>
          <w:vertAlign w:val="subscript"/>
        </w:rPr>
        <w:t>2</w:t>
      </w:r>
      <w:r>
        <w:rPr>
          <w:rFonts w:ascii="Times New Roman" w:hAnsi="Times New Roman"/>
        </w:rPr>
        <w:t xml:space="preserve"> concentrations in the melt are low.</w:t>
      </w:r>
    </w:p>
    <w:p w14:paraId="59F6B557" w14:textId="04D9119F" w:rsidR="003D6D5D" w:rsidRDefault="003D6D5D" w:rsidP="00E9167C">
      <w:pPr>
        <w:ind w:firstLine="720"/>
        <w:jc w:val="both"/>
        <w:rPr>
          <w:rFonts w:ascii="Times New Roman" w:hAnsi="Times New Roman"/>
        </w:rPr>
      </w:pPr>
      <w:r>
        <w:rPr>
          <w:rFonts w:ascii="Times New Roman" w:hAnsi="Times New Roman"/>
        </w:rPr>
        <w:t>Icelandic samples are in equilibrium with a vapor containing mostly CO</w:t>
      </w:r>
      <w:r w:rsidRPr="00BE1D4C">
        <w:rPr>
          <w:rFonts w:ascii="Times New Roman" w:hAnsi="Times New Roman"/>
          <w:vertAlign w:val="subscript"/>
        </w:rPr>
        <w:t>2</w:t>
      </w:r>
      <w:r>
        <w:rPr>
          <w:rFonts w:ascii="Times New Roman" w:hAnsi="Times New Roman"/>
        </w:rPr>
        <w:t xml:space="preserve"> (&gt;73 mol%) and minor H</w:t>
      </w:r>
      <w:r w:rsidRPr="00BE1D4C">
        <w:rPr>
          <w:rFonts w:ascii="Times New Roman" w:hAnsi="Times New Roman"/>
          <w:vertAlign w:val="subscript"/>
        </w:rPr>
        <w:t>2</w:t>
      </w:r>
      <w:r>
        <w:rPr>
          <w:rFonts w:ascii="Times New Roman" w:hAnsi="Times New Roman"/>
        </w:rPr>
        <w:t>O (&lt;12 mol%) and SO</w:t>
      </w:r>
      <w:r w:rsidRPr="00BE1D4C">
        <w:rPr>
          <w:rFonts w:ascii="Times New Roman" w:hAnsi="Times New Roman"/>
          <w:vertAlign w:val="subscript"/>
        </w:rPr>
        <w:t>2</w:t>
      </w:r>
      <w:r>
        <w:rPr>
          <w:rFonts w:ascii="Times New Roman" w:hAnsi="Times New Roman"/>
        </w:rPr>
        <w:t xml:space="preserve"> (&lt;15 mol%) (</w:t>
      </w:r>
      <w:r w:rsidRPr="002B6670">
        <w:rPr>
          <w:rFonts w:ascii="Times New Roman" w:hAnsi="Times New Roman"/>
        </w:rPr>
        <w:t>Figure S1</w:t>
      </w:r>
      <w:r>
        <w:rPr>
          <w:rFonts w:ascii="Times New Roman" w:hAnsi="Times New Roman"/>
        </w:rPr>
        <w:t>9). Due to the lower H</w:t>
      </w:r>
      <w:r w:rsidRPr="00BE1D4C">
        <w:rPr>
          <w:rFonts w:ascii="Times New Roman" w:hAnsi="Times New Roman"/>
          <w:vertAlign w:val="subscript"/>
        </w:rPr>
        <w:t>2</w:t>
      </w:r>
      <w:r>
        <w:rPr>
          <w:rFonts w:ascii="Times New Roman" w:hAnsi="Times New Roman"/>
        </w:rPr>
        <w:t>O-CO</w:t>
      </w:r>
      <w:r w:rsidRPr="00BE1D4C">
        <w:rPr>
          <w:rFonts w:ascii="Times New Roman" w:hAnsi="Times New Roman"/>
          <w:vertAlign w:val="subscript"/>
        </w:rPr>
        <w:t>2</w:t>
      </w:r>
      <w:r>
        <w:rPr>
          <w:rFonts w:ascii="Times New Roman" w:hAnsi="Times New Roman"/>
        </w:rPr>
        <w:t xml:space="preserve"> contents, and the </w:t>
      </w:r>
      <w:r w:rsidRPr="00BE1D4C">
        <w:rPr>
          <w:rFonts w:ascii="Times New Roman" w:hAnsi="Times New Roman"/>
          <w:i/>
          <w:iCs/>
        </w:rPr>
        <w:t>f</w:t>
      </w:r>
      <w:r w:rsidRPr="00BE1D4C">
        <w:rPr>
          <w:rFonts w:ascii="Times New Roman" w:hAnsi="Times New Roman"/>
          <w:vertAlign w:val="subscript"/>
        </w:rPr>
        <w:t>O2</w:t>
      </w:r>
      <w:r>
        <w:rPr>
          <w:rFonts w:ascii="Times New Roman" w:hAnsi="Times New Roman"/>
        </w:rPr>
        <w:t xml:space="preserve"> within 0.5 log units of the </w:t>
      </w:r>
      <w:proofErr w:type="spellStart"/>
      <w:r>
        <w:rPr>
          <w:rFonts w:ascii="Times New Roman" w:hAnsi="Times New Roman"/>
        </w:rPr>
        <w:t>SS</w:t>
      </w:r>
      <w:r w:rsidRPr="00BE1D4C">
        <w:rPr>
          <w:rFonts w:ascii="Times New Roman" w:hAnsi="Times New Roman"/>
          <w:vertAlign w:val="superscript"/>
        </w:rPr>
        <w:t>min</w:t>
      </w:r>
      <w:proofErr w:type="spellEnd"/>
      <w:r>
        <w:rPr>
          <w:rFonts w:ascii="Times New Roman" w:hAnsi="Times New Roman"/>
        </w:rPr>
        <w:t>, the vapor for Hawai’ian samples can have up to 40 mol% SO</w:t>
      </w:r>
      <w:r w:rsidRPr="00BE1D4C">
        <w:rPr>
          <w:rFonts w:ascii="Times New Roman" w:hAnsi="Times New Roman"/>
          <w:vertAlign w:val="subscript"/>
        </w:rPr>
        <w:t>2</w:t>
      </w:r>
      <w:r>
        <w:rPr>
          <w:rFonts w:ascii="Times New Roman" w:hAnsi="Times New Roman"/>
        </w:rPr>
        <w:t xml:space="preserve"> in them (</w:t>
      </w:r>
      <w:r w:rsidRPr="002B6670">
        <w:rPr>
          <w:rFonts w:ascii="Times New Roman" w:hAnsi="Times New Roman"/>
        </w:rPr>
        <w:t>Figure S1</w:t>
      </w:r>
      <w:r>
        <w:rPr>
          <w:rFonts w:ascii="Times New Roman" w:hAnsi="Times New Roman"/>
        </w:rPr>
        <w:t>9).</w:t>
      </w:r>
    </w:p>
    <w:p w14:paraId="47101D1E" w14:textId="287BAA14" w:rsidR="003D6D5D" w:rsidRDefault="003D6D5D" w:rsidP="00E9167C">
      <w:pPr>
        <w:tabs>
          <w:tab w:val="left" w:pos="990"/>
        </w:tabs>
        <w:jc w:val="both"/>
        <w:rPr>
          <w:rFonts w:ascii="Times New Roman" w:hAnsi="Times New Roman"/>
        </w:rPr>
      </w:pPr>
      <w:r>
        <w:rPr>
          <w:rFonts w:ascii="Times New Roman" w:hAnsi="Times New Roman" w:cs="Times New Roman"/>
        </w:rPr>
        <w:tab/>
      </w:r>
      <w:r>
        <w:rPr>
          <w:rFonts w:ascii="Times New Roman" w:hAnsi="Times New Roman"/>
        </w:rPr>
        <w:t>The vapor composition for Bonin samples is mostly CO</w:t>
      </w:r>
      <w:r w:rsidRPr="00974D47">
        <w:rPr>
          <w:rFonts w:ascii="Times New Roman" w:hAnsi="Times New Roman"/>
          <w:vertAlign w:val="subscript"/>
        </w:rPr>
        <w:t>2</w:t>
      </w:r>
      <w:r>
        <w:rPr>
          <w:rFonts w:ascii="Times New Roman" w:hAnsi="Times New Roman"/>
        </w:rPr>
        <w:t xml:space="preserve"> (&gt;77 mol%) with some H</w:t>
      </w:r>
      <w:r w:rsidRPr="00974D47">
        <w:rPr>
          <w:rFonts w:ascii="Times New Roman" w:hAnsi="Times New Roman"/>
          <w:vertAlign w:val="subscript"/>
        </w:rPr>
        <w:t>2</w:t>
      </w:r>
      <w:r>
        <w:rPr>
          <w:rFonts w:ascii="Times New Roman" w:hAnsi="Times New Roman"/>
        </w:rPr>
        <w:t>O (&lt;14 mol%) and trace amounts of all other gas species (&lt;5 mol% each) (</w:t>
      </w:r>
      <w:r w:rsidRPr="002B6670">
        <w:rPr>
          <w:rFonts w:ascii="Times New Roman" w:hAnsi="Times New Roman"/>
        </w:rPr>
        <w:t>Figure S</w:t>
      </w:r>
      <w:r>
        <w:rPr>
          <w:rFonts w:ascii="Times New Roman" w:hAnsi="Times New Roman"/>
        </w:rPr>
        <w:t>20). The Marianas samples, with their high H</w:t>
      </w:r>
      <w:r w:rsidRPr="00974D47">
        <w:rPr>
          <w:rFonts w:ascii="Times New Roman" w:hAnsi="Times New Roman"/>
          <w:vertAlign w:val="subscript"/>
        </w:rPr>
        <w:t>2</w:t>
      </w:r>
      <w:r>
        <w:rPr>
          <w:rFonts w:ascii="Times New Roman" w:hAnsi="Times New Roman"/>
        </w:rPr>
        <w:t>O contents, have water- and CO</w:t>
      </w:r>
      <w:r w:rsidRPr="00974D47">
        <w:rPr>
          <w:rFonts w:ascii="Times New Roman" w:hAnsi="Times New Roman"/>
          <w:vertAlign w:val="subscript"/>
        </w:rPr>
        <w:t>2</w:t>
      </w:r>
      <w:r>
        <w:rPr>
          <w:rFonts w:ascii="Times New Roman" w:hAnsi="Times New Roman"/>
        </w:rPr>
        <w:t xml:space="preserve">-rich </w:t>
      </w:r>
      <w:proofErr w:type="spellStart"/>
      <w:r>
        <w:rPr>
          <w:rFonts w:ascii="Times New Roman" w:hAnsi="Times New Roman"/>
        </w:rPr>
        <w:t>vapo</w:t>
      </w:r>
      <w:r w:rsidR="008D4EA7">
        <w:rPr>
          <w:rFonts w:ascii="Times New Roman" w:hAnsi="Times New Roman"/>
        </w:rPr>
        <w:t>r</w:t>
      </w:r>
      <w:r>
        <w:rPr>
          <w:rFonts w:ascii="Times New Roman" w:hAnsi="Times New Roman"/>
        </w:rPr>
        <w:t>s</w:t>
      </w:r>
      <w:proofErr w:type="spellEnd"/>
      <w:r>
        <w:rPr>
          <w:rFonts w:ascii="Times New Roman" w:hAnsi="Times New Roman"/>
        </w:rPr>
        <w:t xml:space="preserve"> (24–86 and 8–69 mol%, respectively), with significant SO</w:t>
      </w:r>
      <w:r w:rsidRPr="00974D47">
        <w:rPr>
          <w:rFonts w:ascii="Times New Roman" w:hAnsi="Times New Roman"/>
          <w:vertAlign w:val="subscript"/>
        </w:rPr>
        <w:t>2</w:t>
      </w:r>
      <w:r>
        <w:rPr>
          <w:rFonts w:ascii="Times New Roman" w:hAnsi="Times New Roman"/>
        </w:rPr>
        <w:t xml:space="preserve"> (&lt;26 mol%), again reflecting the influence of the </w:t>
      </w:r>
      <w:proofErr w:type="spellStart"/>
      <w:r>
        <w:rPr>
          <w:rFonts w:ascii="Times New Roman" w:hAnsi="Times New Roman"/>
        </w:rPr>
        <w:t>SS</w:t>
      </w:r>
      <w:r w:rsidRPr="00974D47">
        <w:rPr>
          <w:rFonts w:ascii="Times New Roman" w:hAnsi="Times New Roman"/>
          <w:vertAlign w:val="superscript"/>
        </w:rPr>
        <w:t>min</w:t>
      </w:r>
      <w:proofErr w:type="spellEnd"/>
      <w:r>
        <w:rPr>
          <w:rFonts w:ascii="Times New Roman" w:hAnsi="Times New Roman"/>
        </w:rPr>
        <w:t xml:space="preserve"> (</w:t>
      </w:r>
      <w:r w:rsidRPr="002B6670">
        <w:rPr>
          <w:rFonts w:ascii="Times New Roman" w:hAnsi="Times New Roman"/>
        </w:rPr>
        <w:t>Figure S</w:t>
      </w:r>
      <w:r>
        <w:rPr>
          <w:rFonts w:ascii="Times New Roman" w:hAnsi="Times New Roman"/>
        </w:rPr>
        <w:t>20). However, even with the high H</w:t>
      </w:r>
      <w:r w:rsidRPr="00974D47">
        <w:rPr>
          <w:rFonts w:ascii="Times New Roman" w:hAnsi="Times New Roman"/>
          <w:vertAlign w:val="subscript"/>
        </w:rPr>
        <w:t>2</w:t>
      </w:r>
      <w:r>
        <w:rPr>
          <w:rFonts w:ascii="Times New Roman" w:hAnsi="Times New Roman"/>
        </w:rPr>
        <w:t>O contents, H</w:t>
      </w:r>
      <w:r w:rsidRPr="00974D47">
        <w:rPr>
          <w:rFonts w:ascii="Times New Roman" w:hAnsi="Times New Roman"/>
          <w:vertAlign w:val="subscript"/>
        </w:rPr>
        <w:t>2</w:t>
      </w:r>
      <w:r>
        <w:rPr>
          <w:rFonts w:ascii="Times New Roman" w:hAnsi="Times New Roman"/>
        </w:rPr>
        <w:t>S is minor component of the vapor (&lt;3 mol%) as they are too oxidised (</w:t>
      </w:r>
      <w:r w:rsidRPr="002B6670">
        <w:rPr>
          <w:rFonts w:ascii="Times New Roman" w:hAnsi="Times New Roman"/>
        </w:rPr>
        <w:t>Figure S</w:t>
      </w:r>
      <w:r>
        <w:rPr>
          <w:rFonts w:ascii="Times New Roman" w:hAnsi="Times New Roman"/>
        </w:rPr>
        <w:t>20).</w:t>
      </w:r>
    </w:p>
    <w:p w14:paraId="09FFAA30" w14:textId="27E5D279" w:rsidR="003D6D5D" w:rsidRDefault="003D6D5D" w:rsidP="00E9167C">
      <w:pPr>
        <w:ind w:firstLine="720"/>
        <w:jc w:val="both"/>
        <w:rPr>
          <w:rFonts w:ascii="Times New Roman" w:hAnsi="Times New Roman" w:cs="Times New Roman"/>
        </w:rPr>
      </w:pPr>
      <w:r>
        <w:rPr>
          <w:rFonts w:ascii="Times New Roman" w:hAnsi="Times New Roman"/>
        </w:rPr>
        <w:t>The vapor is dominated by CO</w:t>
      </w:r>
      <w:r w:rsidRPr="002B6670">
        <w:rPr>
          <w:rFonts w:ascii="Times New Roman" w:hAnsi="Times New Roman"/>
          <w:vertAlign w:val="subscript"/>
        </w:rPr>
        <w:t>2</w:t>
      </w:r>
      <w:r>
        <w:rPr>
          <w:rFonts w:ascii="Times New Roman" w:hAnsi="Times New Roman"/>
        </w:rPr>
        <w:t xml:space="preserve"> and CO for both lunar and </w:t>
      </w:r>
      <w:proofErr w:type="spellStart"/>
      <w:r>
        <w:rPr>
          <w:rFonts w:ascii="Times New Roman" w:hAnsi="Times New Roman"/>
        </w:rPr>
        <w:t>martian</w:t>
      </w:r>
      <w:proofErr w:type="spellEnd"/>
      <w:r>
        <w:rPr>
          <w:rFonts w:ascii="Times New Roman" w:hAnsi="Times New Roman"/>
        </w:rPr>
        <w:t xml:space="preserve"> samples, with the proportion of CO increasing with decreasing </w:t>
      </w:r>
      <w:r w:rsidRPr="002B6670">
        <w:rPr>
          <w:rFonts w:ascii="Times New Roman" w:hAnsi="Times New Roman"/>
          <w:i/>
          <w:iCs/>
        </w:rPr>
        <w:t>f</w:t>
      </w:r>
      <w:r w:rsidRPr="002B6670">
        <w:rPr>
          <w:rFonts w:ascii="Times New Roman" w:hAnsi="Times New Roman"/>
          <w:vertAlign w:val="subscript"/>
        </w:rPr>
        <w:t>O2</w:t>
      </w:r>
      <w:r>
        <w:rPr>
          <w:rFonts w:ascii="Times New Roman" w:hAnsi="Times New Roman"/>
        </w:rPr>
        <w:t xml:space="preserve"> (</w:t>
      </w:r>
      <w:r w:rsidRPr="002B6670">
        <w:rPr>
          <w:rFonts w:ascii="Times New Roman" w:hAnsi="Times New Roman"/>
        </w:rPr>
        <w:t>Figure S</w:t>
      </w:r>
      <w:r>
        <w:rPr>
          <w:rFonts w:ascii="Times New Roman" w:hAnsi="Times New Roman"/>
        </w:rPr>
        <w:t>2</w:t>
      </w:r>
      <w:r w:rsidR="009E5695">
        <w:rPr>
          <w:rFonts w:ascii="Times New Roman" w:hAnsi="Times New Roman"/>
        </w:rPr>
        <w:t>2</w:t>
      </w:r>
      <w:r>
        <w:rPr>
          <w:rFonts w:ascii="Times New Roman" w:hAnsi="Times New Roman"/>
        </w:rPr>
        <w:t>).</w:t>
      </w:r>
    </w:p>
    <w:p w14:paraId="14965904" w14:textId="77777777" w:rsidR="00D43EB5" w:rsidRPr="00D43EB5" w:rsidRDefault="00D43EB5" w:rsidP="00D43EB5">
      <w:pPr>
        <w:jc w:val="both"/>
        <w:rPr>
          <w:rFonts w:ascii="Times New Roman" w:hAnsi="Times New Roman" w:cs="Times New Roman"/>
        </w:rPr>
      </w:pPr>
    </w:p>
    <w:p w14:paraId="2D56596A" w14:textId="77777777" w:rsidR="00864A79" w:rsidRDefault="009C577A" w:rsidP="00A77568">
      <w:pPr>
        <w:keepNext/>
      </w:pPr>
      <w:r w:rsidRPr="004934D8">
        <w:rPr>
          <w:noProof/>
        </w:rPr>
        <w:lastRenderedPageBreak/>
        <w:drawing>
          <wp:inline distT="0" distB="0" distL="0" distR="0" wp14:anchorId="4AFD36C6" wp14:editId="21A37E67">
            <wp:extent cx="5731200" cy="5489170"/>
            <wp:effectExtent l="0" t="0" r="0" b="0"/>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diagram&#10;&#10;Description automatically generated"/>
                    <pic:cNvPicPr/>
                  </pic:nvPicPr>
                  <pic:blipFill rotWithShape="1">
                    <a:blip r:embed="rId26"/>
                    <a:srcRect l="1934" t="9025" r="6361" b="3144"/>
                    <a:stretch/>
                  </pic:blipFill>
                  <pic:spPr bwMode="auto">
                    <a:xfrm>
                      <a:off x="0" y="0"/>
                      <a:ext cx="5731200" cy="5489170"/>
                    </a:xfrm>
                    <a:prstGeom prst="rect">
                      <a:avLst/>
                    </a:prstGeom>
                    <a:ln>
                      <a:noFill/>
                    </a:ln>
                    <a:extLst>
                      <a:ext uri="{53640926-AAD7-44D8-BBD7-CCE9431645EC}">
                        <a14:shadowObscured xmlns:a14="http://schemas.microsoft.com/office/drawing/2010/main"/>
                      </a:ext>
                    </a:extLst>
                  </pic:spPr>
                </pic:pic>
              </a:graphicData>
            </a:graphic>
          </wp:inline>
        </w:drawing>
      </w:r>
    </w:p>
    <w:p w14:paraId="33A063EC" w14:textId="4BCE6036" w:rsidR="009C577A" w:rsidRDefault="00864A79" w:rsidP="00A77568">
      <w:pPr>
        <w:pStyle w:val="Caption"/>
        <w:ind w:firstLine="0"/>
      </w:pPr>
      <w:bookmarkStart w:id="39" w:name="_Ref127449512"/>
      <w:r w:rsidRPr="00A77568">
        <w:rPr>
          <w:color w:val="000000" w:themeColor="text1"/>
          <w:sz w:val="24"/>
          <w:szCs w:val="24"/>
        </w:rPr>
        <w:t xml:space="preserve">Figure </w:t>
      </w:r>
      <w:r>
        <w:rPr>
          <w:color w:val="000000" w:themeColor="text1"/>
          <w:sz w:val="24"/>
          <w:szCs w:val="24"/>
        </w:rPr>
        <w:t>S</w:t>
      </w:r>
      <w:r w:rsidRPr="00A77568">
        <w:rPr>
          <w:color w:val="000000" w:themeColor="text1"/>
          <w:sz w:val="24"/>
          <w:szCs w:val="24"/>
        </w:rPr>
        <w:fldChar w:fldCharType="begin"/>
      </w:r>
      <w:r w:rsidRPr="00A77568">
        <w:rPr>
          <w:color w:val="000000" w:themeColor="text1"/>
          <w:sz w:val="24"/>
          <w:szCs w:val="24"/>
        </w:rPr>
        <w:instrText xml:space="preserve"> SEQ Figure \* ARABIC </w:instrText>
      </w:r>
      <w:r w:rsidRPr="00A77568">
        <w:rPr>
          <w:color w:val="000000" w:themeColor="text1"/>
          <w:sz w:val="24"/>
          <w:szCs w:val="24"/>
        </w:rPr>
        <w:fldChar w:fldCharType="separate"/>
      </w:r>
      <w:r w:rsidR="009E5695">
        <w:rPr>
          <w:noProof/>
          <w:color w:val="000000" w:themeColor="text1"/>
          <w:sz w:val="24"/>
          <w:szCs w:val="24"/>
        </w:rPr>
        <w:t>18</w:t>
      </w:r>
      <w:r w:rsidRPr="00A77568">
        <w:rPr>
          <w:color w:val="000000" w:themeColor="text1"/>
          <w:sz w:val="24"/>
          <w:szCs w:val="24"/>
        </w:rPr>
        <w:fldChar w:fldCharType="end"/>
      </w:r>
      <w:bookmarkEnd w:id="39"/>
      <w:r w:rsidRPr="00A77568">
        <w:rPr>
          <w:i w:val="0"/>
          <w:iCs w:val="0"/>
          <w:color w:val="000000" w:themeColor="text1"/>
          <w:sz w:val="24"/>
          <w:szCs w:val="24"/>
        </w:rPr>
        <w:t xml:space="preserve"> </w:t>
      </w:r>
      <w:r w:rsidR="00D43EB5">
        <w:rPr>
          <w:i w:val="0"/>
          <w:iCs w:val="0"/>
          <w:color w:val="000000" w:themeColor="text1"/>
          <w:sz w:val="24"/>
          <w:szCs w:val="24"/>
        </w:rPr>
        <w:t>Calculated v</w:t>
      </w:r>
      <w:r>
        <w:rPr>
          <w:i w:val="0"/>
          <w:iCs w:val="0"/>
          <w:color w:val="000000" w:themeColor="text1"/>
          <w:sz w:val="24"/>
          <w:szCs w:val="24"/>
        </w:rPr>
        <w:t xml:space="preserve">apor composition (mole fraction of species </w:t>
      </w:r>
      <w:proofErr w:type="spellStart"/>
      <w:r>
        <w:rPr>
          <w:color w:val="000000" w:themeColor="text1"/>
          <w:sz w:val="24"/>
          <w:szCs w:val="24"/>
        </w:rPr>
        <w:t>i</w:t>
      </w:r>
      <w:proofErr w:type="spellEnd"/>
      <w:r>
        <w:rPr>
          <w:i w:val="0"/>
          <w:iCs w:val="0"/>
          <w:color w:val="000000" w:themeColor="text1"/>
          <w:sz w:val="24"/>
          <w:szCs w:val="24"/>
        </w:rPr>
        <w:t>) against log</w:t>
      </w:r>
      <w:r w:rsidRPr="00864A79">
        <w:rPr>
          <w:i w:val="0"/>
          <w:iCs w:val="0"/>
          <w:color w:val="000000" w:themeColor="text1"/>
          <w:sz w:val="24"/>
          <w:szCs w:val="24"/>
          <w:vertAlign w:val="subscript"/>
        </w:rPr>
        <w:t>10</w:t>
      </w:r>
      <w:r>
        <w:rPr>
          <w:i w:val="0"/>
          <w:iCs w:val="0"/>
          <w:color w:val="000000" w:themeColor="text1"/>
          <w:sz w:val="24"/>
          <w:szCs w:val="24"/>
        </w:rPr>
        <w:t>(</w:t>
      </w:r>
      <w:r w:rsidRPr="00864A79">
        <w:rPr>
          <w:color w:val="000000" w:themeColor="text1"/>
          <w:sz w:val="24"/>
          <w:szCs w:val="24"/>
        </w:rPr>
        <w:t>f</w:t>
      </w:r>
      <w:r w:rsidRPr="00864A79">
        <w:rPr>
          <w:i w:val="0"/>
          <w:iCs w:val="0"/>
          <w:color w:val="000000" w:themeColor="text1"/>
          <w:sz w:val="24"/>
          <w:szCs w:val="24"/>
          <w:vertAlign w:val="subscript"/>
        </w:rPr>
        <w:t>O2</w:t>
      </w:r>
      <w:r>
        <w:rPr>
          <w:i w:val="0"/>
          <w:iCs w:val="0"/>
          <w:color w:val="000000" w:themeColor="text1"/>
          <w:sz w:val="24"/>
          <w:szCs w:val="24"/>
        </w:rPr>
        <w:t xml:space="preserve">) for MORB samples shown in Figure 6 of the main text (same symbol shapes and colours are used: diamond = matrix glass, blue = Mid-Atlantic ridge, red = </w:t>
      </w:r>
      <w:proofErr w:type="spellStart"/>
      <w:r>
        <w:rPr>
          <w:i w:val="0"/>
          <w:iCs w:val="0"/>
          <w:color w:val="000000" w:themeColor="text1"/>
          <w:sz w:val="24"/>
          <w:szCs w:val="24"/>
        </w:rPr>
        <w:t>Rekeyanes</w:t>
      </w:r>
      <w:proofErr w:type="spellEnd"/>
      <w:r>
        <w:rPr>
          <w:i w:val="0"/>
          <w:iCs w:val="0"/>
          <w:color w:val="000000" w:themeColor="text1"/>
          <w:sz w:val="24"/>
          <w:szCs w:val="24"/>
        </w:rPr>
        <w:t xml:space="preserve"> ridge, yellow = SW Indian ridge, grey = American-Antarctic ridge, and black = </w:t>
      </w:r>
      <w:proofErr w:type="spellStart"/>
      <w:r>
        <w:rPr>
          <w:i w:val="0"/>
          <w:iCs w:val="0"/>
          <w:color w:val="000000" w:themeColor="text1"/>
          <w:sz w:val="24"/>
          <w:szCs w:val="24"/>
        </w:rPr>
        <w:t>Kolbeinsey</w:t>
      </w:r>
      <w:proofErr w:type="spellEnd"/>
      <w:r>
        <w:rPr>
          <w:i w:val="0"/>
          <w:iCs w:val="0"/>
          <w:color w:val="000000" w:themeColor="text1"/>
          <w:sz w:val="24"/>
          <w:szCs w:val="24"/>
        </w:rPr>
        <w:t xml:space="preserve"> ridge). Note the </w:t>
      </w:r>
      <w:r w:rsidR="00E7599D">
        <w:rPr>
          <w:i w:val="0"/>
          <w:iCs w:val="0"/>
          <w:color w:val="000000" w:themeColor="text1"/>
          <w:sz w:val="24"/>
          <w:szCs w:val="24"/>
        </w:rPr>
        <w:t>different</w:t>
      </w:r>
      <w:r>
        <w:rPr>
          <w:i w:val="0"/>
          <w:iCs w:val="0"/>
          <w:color w:val="000000" w:themeColor="text1"/>
          <w:sz w:val="24"/>
          <w:szCs w:val="24"/>
        </w:rPr>
        <w:t xml:space="preserve"> y-axis scale</w:t>
      </w:r>
      <w:r w:rsidR="00E7599D">
        <w:rPr>
          <w:i w:val="0"/>
          <w:iCs w:val="0"/>
          <w:color w:val="000000" w:themeColor="text1"/>
          <w:sz w:val="24"/>
          <w:szCs w:val="24"/>
        </w:rPr>
        <w:t>s</w:t>
      </w:r>
      <w:r>
        <w:rPr>
          <w:i w:val="0"/>
          <w:iCs w:val="0"/>
          <w:color w:val="000000" w:themeColor="text1"/>
          <w:sz w:val="24"/>
          <w:szCs w:val="24"/>
        </w:rPr>
        <w:t xml:space="preserve"> </w:t>
      </w:r>
      <w:r w:rsidR="00E7599D">
        <w:rPr>
          <w:i w:val="0"/>
          <w:iCs w:val="0"/>
          <w:color w:val="000000" w:themeColor="text1"/>
          <w:sz w:val="24"/>
          <w:szCs w:val="24"/>
        </w:rPr>
        <w:t>for</w:t>
      </w:r>
      <w:r>
        <w:rPr>
          <w:i w:val="0"/>
          <w:iCs w:val="0"/>
          <w:color w:val="000000" w:themeColor="text1"/>
          <w:sz w:val="24"/>
          <w:szCs w:val="24"/>
        </w:rPr>
        <w:t xml:space="preserve"> the major species (CO</w:t>
      </w:r>
      <w:r w:rsidRPr="00864A79">
        <w:rPr>
          <w:i w:val="0"/>
          <w:iCs w:val="0"/>
          <w:color w:val="000000" w:themeColor="text1"/>
          <w:sz w:val="24"/>
          <w:szCs w:val="24"/>
          <w:vertAlign w:val="subscript"/>
        </w:rPr>
        <w:t>2</w:t>
      </w:r>
      <w:r>
        <w:rPr>
          <w:i w:val="0"/>
          <w:iCs w:val="0"/>
          <w:color w:val="000000" w:themeColor="text1"/>
          <w:sz w:val="24"/>
          <w:szCs w:val="24"/>
        </w:rPr>
        <w:t>, H</w:t>
      </w:r>
      <w:r w:rsidRPr="00864A79">
        <w:rPr>
          <w:i w:val="0"/>
          <w:iCs w:val="0"/>
          <w:color w:val="000000" w:themeColor="text1"/>
          <w:sz w:val="24"/>
          <w:szCs w:val="24"/>
          <w:vertAlign w:val="subscript"/>
        </w:rPr>
        <w:t>2</w:t>
      </w:r>
      <w:r>
        <w:rPr>
          <w:i w:val="0"/>
          <w:iCs w:val="0"/>
          <w:color w:val="000000" w:themeColor="text1"/>
          <w:sz w:val="24"/>
          <w:szCs w:val="24"/>
        </w:rPr>
        <w:t>O, and SO</w:t>
      </w:r>
      <w:r w:rsidRPr="00864A79">
        <w:rPr>
          <w:i w:val="0"/>
          <w:iCs w:val="0"/>
          <w:color w:val="000000" w:themeColor="text1"/>
          <w:sz w:val="24"/>
          <w:szCs w:val="24"/>
          <w:vertAlign w:val="subscript"/>
        </w:rPr>
        <w:t>2</w:t>
      </w:r>
      <w:r>
        <w:rPr>
          <w:i w:val="0"/>
          <w:iCs w:val="0"/>
          <w:color w:val="000000" w:themeColor="text1"/>
          <w:sz w:val="24"/>
          <w:szCs w:val="24"/>
        </w:rPr>
        <w:t xml:space="preserve">: 0–1) </w:t>
      </w:r>
      <w:r w:rsidR="00E7599D">
        <w:rPr>
          <w:i w:val="0"/>
          <w:iCs w:val="0"/>
          <w:color w:val="000000" w:themeColor="text1"/>
          <w:sz w:val="24"/>
          <w:szCs w:val="24"/>
        </w:rPr>
        <w:t>and for</w:t>
      </w:r>
      <w:r>
        <w:rPr>
          <w:i w:val="0"/>
          <w:iCs w:val="0"/>
          <w:color w:val="000000" w:themeColor="text1"/>
          <w:sz w:val="24"/>
          <w:szCs w:val="24"/>
        </w:rPr>
        <w:t xml:space="preserve"> the minor/trace species (CO, H</w:t>
      </w:r>
      <w:r w:rsidRPr="00864A79">
        <w:rPr>
          <w:i w:val="0"/>
          <w:iCs w:val="0"/>
          <w:color w:val="000000" w:themeColor="text1"/>
          <w:sz w:val="24"/>
          <w:szCs w:val="24"/>
          <w:vertAlign w:val="subscript"/>
        </w:rPr>
        <w:t>2</w:t>
      </w:r>
      <w:r>
        <w:rPr>
          <w:i w:val="0"/>
          <w:iCs w:val="0"/>
          <w:color w:val="000000" w:themeColor="text1"/>
          <w:sz w:val="24"/>
          <w:szCs w:val="24"/>
        </w:rPr>
        <w:t>, S</w:t>
      </w:r>
      <w:r w:rsidRPr="00864A79">
        <w:rPr>
          <w:i w:val="0"/>
          <w:iCs w:val="0"/>
          <w:color w:val="000000" w:themeColor="text1"/>
          <w:sz w:val="24"/>
          <w:szCs w:val="24"/>
          <w:vertAlign w:val="subscript"/>
        </w:rPr>
        <w:t>2</w:t>
      </w:r>
      <w:r>
        <w:rPr>
          <w:i w:val="0"/>
          <w:iCs w:val="0"/>
          <w:color w:val="000000" w:themeColor="text1"/>
          <w:sz w:val="24"/>
          <w:szCs w:val="24"/>
        </w:rPr>
        <w:t>, OCS, CH</w:t>
      </w:r>
      <w:r w:rsidRPr="00864A79">
        <w:rPr>
          <w:i w:val="0"/>
          <w:iCs w:val="0"/>
          <w:color w:val="000000" w:themeColor="text1"/>
          <w:sz w:val="24"/>
          <w:szCs w:val="24"/>
          <w:vertAlign w:val="subscript"/>
        </w:rPr>
        <w:t>4</w:t>
      </w:r>
      <w:r>
        <w:rPr>
          <w:i w:val="0"/>
          <w:iCs w:val="0"/>
          <w:color w:val="000000" w:themeColor="text1"/>
          <w:sz w:val="24"/>
          <w:szCs w:val="24"/>
        </w:rPr>
        <w:t>, and H</w:t>
      </w:r>
      <w:r w:rsidRPr="00864A79">
        <w:rPr>
          <w:i w:val="0"/>
          <w:iCs w:val="0"/>
          <w:color w:val="000000" w:themeColor="text1"/>
          <w:sz w:val="24"/>
          <w:szCs w:val="24"/>
          <w:vertAlign w:val="subscript"/>
        </w:rPr>
        <w:t>2</w:t>
      </w:r>
      <w:r>
        <w:rPr>
          <w:i w:val="0"/>
          <w:iCs w:val="0"/>
          <w:color w:val="000000" w:themeColor="text1"/>
          <w:sz w:val="24"/>
          <w:szCs w:val="24"/>
        </w:rPr>
        <w:t>S: 0.0–0.1).</w:t>
      </w:r>
    </w:p>
    <w:p w14:paraId="0350F3B4" w14:textId="77777777" w:rsidR="00AC4246" w:rsidRDefault="009C577A" w:rsidP="00864A79">
      <w:pPr>
        <w:keepNext/>
      </w:pPr>
      <w:r w:rsidRPr="004934D8">
        <w:rPr>
          <w:noProof/>
        </w:rPr>
        <w:lastRenderedPageBreak/>
        <w:drawing>
          <wp:inline distT="0" distB="0" distL="0" distR="0" wp14:anchorId="632523F7" wp14:editId="1301B83B">
            <wp:extent cx="5731200" cy="5559427"/>
            <wp:effectExtent l="0" t="0" r="0" b="3175"/>
            <wp:docPr id="8" name="Picture 8"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diagram&#10;&#10;Description automatically generated"/>
                    <pic:cNvPicPr/>
                  </pic:nvPicPr>
                  <pic:blipFill rotWithShape="1">
                    <a:blip r:embed="rId27"/>
                    <a:srcRect l="1934" t="8541" r="6361" b="2503"/>
                    <a:stretch/>
                  </pic:blipFill>
                  <pic:spPr bwMode="auto">
                    <a:xfrm>
                      <a:off x="0" y="0"/>
                      <a:ext cx="5731200" cy="5559427"/>
                    </a:xfrm>
                    <a:prstGeom prst="rect">
                      <a:avLst/>
                    </a:prstGeom>
                    <a:ln>
                      <a:noFill/>
                    </a:ln>
                    <a:extLst>
                      <a:ext uri="{53640926-AAD7-44D8-BBD7-CCE9431645EC}">
                        <a14:shadowObscured xmlns:a14="http://schemas.microsoft.com/office/drawing/2010/main"/>
                      </a:ext>
                    </a:extLst>
                  </pic:spPr>
                </pic:pic>
              </a:graphicData>
            </a:graphic>
          </wp:inline>
        </w:drawing>
      </w:r>
    </w:p>
    <w:p w14:paraId="2B2626B5" w14:textId="21ACFA1D" w:rsidR="009C577A" w:rsidRPr="00864A79" w:rsidRDefault="00AC4246" w:rsidP="00864A79">
      <w:pPr>
        <w:pStyle w:val="Caption"/>
        <w:ind w:firstLine="0"/>
        <w:rPr>
          <w:i w:val="0"/>
          <w:iCs w:val="0"/>
          <w:color w:val="000000" w:themeColor="text1"/>
          <w:sz w:val="24"/>
          <w:szCs w:val="24"/>
        </w:rPr>
      </w:pPr>
      <w:r w:rsidRPr="00864A79">
        <w:rPr>
          <w:color w:val="000000" w:themeColor="text1"/>
          <w:sz w:val="24"/>
          <w:szCs w:val="24"/>
        </w:rPr>
        <w:t xml:space="preserve">Figure </w:t>
      </w:r>
      <w:r>
        <w:rPr>
          <w:color w:val="000000" w:themeColor="text1"/>
          <w:sz w:val="24"/>
          <w:szCs w:val="24"/>
        </w:rPr>
        <w:t>S</w:t>
      </w:r>
      <w:r w:rsidRPr="00864A79">
        <w:rPr>
          <w:color w:val="000000" w:themeColor="text1"/>
          <w:sz w:val="24"/>
          <w:szCs w:val="24"/>
        </w:rPr>
        <w:fldChar w:fldCharType="begin"/>
      </w:r>
      <w:r w:rsidRPr="00864A79">
        <w:rPr>
          <w:color w:val="000000" w:themeColor="text1"/>
          <w:sz w:val="24"/>
          <w:szCs w:val="24"/>
        </w:rPr>
        <w:instrText xml:space="preserve"> SEQ Figure \* ARABIC </w:instrText>
      </w:r>
      <w:r w:rsidRPr="00864A79">
        <w:rPr>
          <w:color w:val="000000" w:themeColor="text1"/>
          <w:sz w:val="24"/>
          <w:szCs w:val="24"/>
        </w:rPr>
        <w:fldChar w:fldCharType="separate"/>
      </w:r>
      <w:r w:rsidR="009E5695">
        <w:rPr>
          <w:noProof/>
          <w:color w:val="000000" w:themeColor="text1"/>
          <w:sz w:val="24"/>
          <w:szCs w:val="24"/>
        </w:rPr>
        <w:t>19</w:t>
      </w:r>
      <w:r w:rsidRPr="00864A79">
        <w:rPr>
          <w:color w:val="000000" w:themeColor="text1"/>
          <w:sz w:val="24"/>
          <w:szCs w:val="24"/>
        </w:rPr>
        <w:fldChar w:fldCharType="end"/>
      </w:r>
      <w:r>
        <w:rPr>
          <w:i w:val="0"/>
          <w:iCs w:val="0"/>
          <w:color w:val="000000" w:themeColor="text1"/>
          <w:sz w:val="24"/>
          <w:szCs w:val="24"/>
        </w:rPr>
        <w:t xml:space="preserve"> </w:t>
      </w:r>
      <w:r w:rsidR="00D43EB5">
        <w:rPr>
          <w:i w:val="0"/>
          <w:iCs w:val="0"/>
          <w:color w:val="000000" w:themeColor="text1"/>
          <w:sz w:val="24"/>
          <w:szCs w:val="24"/>
        </w:rPr>
        <w:t>Calculated v</w:t>
      </w:r>
      <w:r>
        <w:rPr>
          <w:i w:val="0"/>
          <w:iCs w:val="0"/>
          <w:color w:val="000000" w:themeColor="text1"/>
          <w:sz w:val="24"/>
          <w:szCs w:val="24"/>
        </w:rPr>
        <w:t>apor composition</w:t>
      </w:r>
      <w:r w:rsidR="00864A79">
        <w:rPr>
          <w:i w:val="0"/>
          <w:iCs w:val="0"/>
          <w:color w:val="000000" w:themeColor="text1"/>
          <w:sz w:val="24"/>
          <w:szCs w:val="24"/>
        </w:rPr>
        <w:t xml:space="preserve"> (mole fraction of species </w:t>
      </w:r>
      <w:proofErr w:type="spellStart"/>
      <w:r w:rsidR="00864A79">
        <w:rPr>
          <w:color w:val="000000" w:themeColor="text1"/>
          <w:sz w:val="24"/>
          <w:szCs w:val="24"/>
        </w:rPr>
        <w:t>i</w:t>
      </w:r>
      <w:proofErr w:type="spellEnd"/>
      <w:r w:rsidR="00864A79">
        <w:rPr>
          <w:i w:val="0"/>
          <w:iCs w:val="0"/>
          <w:color w:val="000000" w:themeColor="text1"/>
          <w:sz w:val="24"/>
          <w:szCs w:val="24"/>
        </w:rPr>
        <w:t>) against log</w:t>
      </w:r>
      <w:r w:rsidR="00864A79" w:rsidRPr="00864A79">
        <w:rPr>
          <w:i w:val="0"/>
          <w:iCs w:val="0"/>
          <w:color w:val="000000" w:themeColor="text1"/>
          <w:sz w:val="24"/>
          <w:szCs w:val="24"/>
          <w:vertAlign w:val="subscript"/>
        </w:rPr>
        <w:t>10</w:t>
      </w:r>
      <w:r w:rsidR="00864A79">
        <w:rPr>
          <w:i w:val="0"/>
          <w:iCs w:val="0"/>
          <w:color w:val="000000" w:themeColor="text1"/>
          <w:sz w:val="24"/>
          <w:szCs w:val="24"/>
        </w:rPr>
        <w:t>(</w:t>
      </w:r>
      <w:r w:rsidR="00864A79" w:rsidRPr="00864A79">
        <w:rPr>
          <w:color w:val="000000" w:themeColor="text1"/>
          <w:sz w:val="24"/>
          <w:szCs w:val="24"/>
        </w:rPr>
        <w:t>f</w:t>
      </w:r>
      <w:r w:rsidR="00864A79" w:rsidRPr="00864A79">
        <w:rPr>
          <w:i w:val="0"/>
          <w:iCs w:val="0"/>
          <w:color w:val="000000" w:themeColor="text1"/>
          <w:sz w:val="24"/>
          <w:szCs w:val="24"/>
          <w:vertAlign w:val="subscript"/>
        </w:rPr>
        <w:t>O2</w:t>
      </w:r>
      <w:r w:rsidR="00864A79">
        <w:rPr>
          <w:i w:val="0"/>
          <w:iCs w:val="0"/>
          <w:color w:val="000000" w:themeColor="text1"/>
          <w:sz w:val="24"/>
          <w:szCs w:val="24"/>
        </w:rPr>
        <w:t>)</w:t>
      </w:r>
      <w:r>
        <w:rPr>
          <w:i w:val="0"/>
          <w:iCs w:val="0"/>
          <w:color w:val="000000" w:themeColor="text1"/>
          <w:sz w:val="24"/>
          <w:szCs w:val="24"/>
        </w:rPr>
        <w:t xml:space="preserve"> for OIB samples shown in Figure 6 of the main text</w:t>
      </w:r>
      <w:r w:rsidR="00864A79">
        <w:rPr>
          <w:i w:val="0"/>
          <w:iCs w:val="0"/>
          <w:color w:val="000000" w:themeColor="text1"/>
          <w:sz w:val="24"/>
          <w:szCs w:val="24"/>
        </w:rPr>
        <w:t xml:space="preserve"> (same symbol shapes and colours are used: diamond = matrix glass, circle = melt inclusion, yellow = Hawai’i, and red = Iceland). Note the </w:t>
      </w:r>
      <w:r w:rsidR="00E7599D">
        <w:rPr>
          <w:i w:val="0"/>
          <w:iCs w:val="0"/>
          <w:color w:val="000000" w:themeColor="text1"/>
          <w:sz w:val="24"/>
          <w:szCs w:val="24"/>
        </w:rPr>
        <w:t>different</w:t>
      </w:r>
      <w:r w:rsidR="00864A79">
        <w:rPr>
          <w:i w:val="0"/>
          <w:iCs w:val="0"/>
          <w:color w:val="000000" w:themeColor="text1"/>
          <w:sz w:val="24"/>
          <w:szCs w:val="24"/>
        </w:rPr>
        <w:t xml:space="preserve"> y-axis scale</w:t>
      </w:r>
      <w:r w:rsidR="00E7599D">
        <w:rPr>
          <w:i w:val="0"/>
          <w:iCs w:val="0"/>
          <w:color w:val="000000" w:themeColor="text1"/>
          <w:sz w:val="24"/>
          <w:szCs w:val="24"/>
        </w:rPr>
        <w:t>s</w:t>
      </w:r>
      <w:r w:rsidR="00864A79">
        <w:rPr>
          <w:i w:val="0"/>
          <w:iCs w:val="0"/>
          <w:color w:val="000000" w:themeColor="text1"/>
          <w:sz w:val="24"/>
          <w:szCs w:val="24"/>
        </w:rPr>
        <w:t xml:space="preserve"> </w:t>
      </w:r>
      <w:r w:rsidR="00E7599D">
        <w:rPr>
          <w:i w:val="0"/>
          <w:iCs w:val="0"/>
          <w:color w:val="000000" w:themeColor="text1"/>
          <w:sz w:val="24"/>
          <w:szCs w:val="24"/>
        </w:rPr>
        <w:t>for</w:t>
      </w:r>
      <w:r w:rsidR="00864A79">
        <w:rPr>
          <w:i w:val="0"/>
          <w:iCs w:val="0"/>
          <w:color w:val="000000" w:themeColor="text1"/>
          <w:sz w:val="24"/>
          <w:szCs w:val="24"/>
        </w:rPr>
        <w:t xml:space="preserve"> the major species (CO</w:t>
      </w:r>
      <w:r w:rsidR="00864A79" w:rsidRPr="00864A79">
        <w:rPr>
          <w:i w:val="0"/>
          <w:iCs w:val="0"/>
          <w:color w:val="000000" w:themeColor="text1"/>
          <w:sz w:val="24"/>
          <w:szCs w:val="24"/>
          <w:vertAlign w:val="subscript"/>
        </w:rPr>
        <w:t>2</w:t>
      </w:r>
      <w:r w:rsidR="00864A79">
        <w:rPr>
          <w:i w:val="0"/>
          <w:iCs w:val="0"/>
          <w:color w:val="000000" w:themeColor="text1"/>
          <w:sz w:val="24"/>
          <w:szCs w:val="24"/>
        </w:rPr>
        <w:t>, H</w:t>
      </w:r>
      <w:r w:rsidR="00864A79" w:rsidRPr="00864A79">
        <w:rPr>
          <w:i w:val="0"/>
          <w:iCs w:val="0"/>
          <w:color w:val="000000" w:themeColor="text1"/>
          <w:sz w:val="24"/>
          <w:szCs w:val="24"/>
          <w:vertAlign w:val="subscript"/>
        </w:rPr>
        <w:t>2</w:t>
      </w:r>
      <w:r w:rsidR="00864A79">
        <w:rPr>
          <w:i w:val="0"/>
          <w:iCs w:val="0"/>
          <w:color w:val="000000" w:themeColor="text1"/>
          <w:sz w:val="24"/>
          <w:szCs w:val="24"/>
        </w:rPr>
        <w:t>O, and SO</w:t>
      </w:r>
      <w:r w:rsidR="00864A79" w:rsidRPr="00864A79">
        <w:rPr>
          <w:i w:val="0"/>
          <w:iCs w:val="0"/>
          <w:color w:val="000000" w:themeColor="text1"/>
          <w:sz w:val="24"/>
          <w:szCs w:val="24"/>
          <w:vertAlign w:val="subscript"/>
        </w:rPr>
        <w:t>2</w:t>
      </w:r>
      <w:r w:rsidR="00864A79">
        <w:rPr>
          <w:i w:val="0"/>
          <w:iCs w:val="0"/>
          <w:color w:val="000000" w:themeColor="text1"/>
          <w:sz w:val="24"/>
          <w:szCs w:val="24"/>
        </w:rPr>
        <w:t xml:space="preserve">: 0–1) </w:t>
      </w:r>
      <w:r w:rsidR="00E7599D">
        <w:rPr>
          <w:i w:val="0"/>
          <w:iCs w:val="0"/>
          <w:color w:val="000000" w:themeColor="text1"/>
          <w:sz w:val="24"/>
          <w:szCs w:val="24"/>
        </w:rPr>
        <w:t>and for</w:t>
      </w:r>
      <w:r w:rsidR="00864A79">
        <w:rPr>
          <w:i w:val="0"/>
          <w:iCs w:val="0"/>
          <w:color w:val="000000" w:themeColor="text1"/>
          <w:sz w:val="24"/>
          <w:szCs w:val="24"/>
        </w:rPr>
        <w:t xml:space="preserve"> the minor/trace species (CO, H</w:t>
      </w:r>
      <w:r w:rsidR="00864A79" w:rsidRPr="00864A79">
        <w:rPr>
          <w:i w:val="0"/>
          <w:iCs w:val="0"/>
          <w:color w:val="000000" w:themeColor="text1"/>
          <w:sz w:val="24"/>
          <w:szCs w:val="24"/>
          <w:vertAlign w:val="subscript"/>
        </w:rPr>
        <w:t>2</w:t>
      </w:r>
      <w:r w:rsidR="00864A79">
        <w:rPr>
          <w:i w:val="0"/>
          <w:iCs w:val="0"/>
          <w:color w:val="000000" w:themeColor="text1"/>
          <w:sz w:val="24"/>
          <w:szCs w:val="24"/>
        </w:rPr>
        <w:t>, S</w:t>
      </w:r>
      <w:r w:rsidR="00864A79" w:rsidRPr="00864A79">
        <w:rPr>
          <w:i w:val="0"/>
          <w:iCs w:val="0"/>
          <w:color w:val="000000" w:themeColor="text1"/>
          <w:sz w:val="24"/>
          <w:szCs w:val="24"/>
          <w:vertAlign w:val="subscript"/>
        </w:rPr>
        <w:t>2</w:t>
      </w:r>
      <w:r w:rsidR="00864A79">
        <w:rPr>
          <w:i w:val="0"/>
          <w:iCs w:val="0"/>
          <w:color w:val="000000" w:themeColor="text1"/>
          <w:sz w:val="24"/>
          <w:szCs w:val="24"/>
        </w:rPr>
        <w:t>, OCS, CH</w:t>
      </w:r>
      <w:r w:rsidR="00864A79" w:rsidRPr="00864A79">
        <w:rPr>
          <w:i w:val="0"/>
          <w:iCs w:val="0"/>
          <w:color w:val="000000" w:themeColor="text1"/>
          <w:sz w:val="24"/>
          <w:szCs w:val="24"/>
          <w:vertAlign w:val="subscript"/>
        </w:rPr>
        <w:t>4</w:t>
      </w:r>
      <w:r w:rsidR="00864A79">
        <w:rPr>
          <w:i w:val="0"/>
          <w:iCs w:val="0"/>
          <w:color w:val="000000" w:themeColor="text1"/>
          <w:sz w:val="24"/>
          <w:szCs w:val="24"/>
        </w:rPr>
        <w:t>, and H</w:t>
      </w:r>
      <w:r w:rsidR="00864A79" w:rsidRPr="00864A79">
        <w:rPr>
          <w:i w:val="0"/>
          <w:iCs w:val="0"/>
          <w:color w:val="000000" w:themeColor="text1"/>
          <w:sz w:val="24"/>
          <w:szCs w:val="24"/>
          <w:vertAlign w:val="subscript"/>
        </w:rPr>
        <w:t>2</w:t>
      </w:r>
      <w:r w:rsidR="00864A79">
        <w:rPr>
          <w:i w:val="0"/>
          <w:iCs w:val="0"/>
          <w:color w:val="000000" w:themeColor="text1"/>
          <w:sz w:val="24"/>
          <w:szCs w:val="24"/>
        </w:rPr>
        <w:t xml:space="preserve">S: 0.0–0.1). </w:t>
      </w:r>
    </w:p>
    <w:p w14:paraId="056470AE" w14:textId="77777777" w:rsidR="00864A79" w:rsidRDefault="009C577A" w:rsidP="00A77568">
      <w:pPr>
        <w:keepNext/>
      </w:pPr>
      <w:r w:rsidRPr="004934D8">
        <w:rPr>
          <w:noProof/>
        </w:rPr>
        <w:lastRenderedPageBreak/>
        <w:drawing>
          <wp:inline distT="0" distB="0" distL="0" distR="0" wp14:anchorId="4346F420" wp14:editId="285C06E2">
            <wp:extent cx="5731200" cy="5569896"/>
            <wp:effectExtent l="0" t="0" r="0" b="5715"/>
            <wp:docPr id="13" name="Picture 13"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with low confidence"/>
                    <pic:cNvPicPr/>
                  </pic:nvPicPr>
                  <pic:blipFill rotWithShape="1">
                    <a:blip r:embed="rId28"/>
                    <a:srcRect l="1934" t="7896" r="6200" b="2823"/>
                    <a:stretch/>
                  </pic:blipFill>
                  <pic:spPr bwMode="auto">
                    <a:xfrm>
                      <a:off x="0" y="0"/>
                      <a:ext cx="5731200" cy="5569896"/>
                    </a:xfrm>
                    <a:prstGeom prst="rect">
                      <a:avLst/>
                    </a:prstGeom>
                    <a:ln>
                      <a:noFill/>
                    </a:ln>
                    <a:extLst>
                      <a:ext uri="{53640926-AAD7-44D8-BBD7-CCE9431645EC}">
                        <a14:shadowObscured xmlns:a14="http://schemas.microsoft.com/office/drawing/2010/main"/>
                      </a:ext>
                    </a:extLst>
                  </pic:spPr>
                </pic:pic>
              </a:graphicData>
            </a:graphic>
          </wp:inline>
        </w:drawing>
      </w:r>
    </w:p>
    <w:p w14:paraId="71A7BCA7" w14:textId="0958ADBC" w:rsidR="008D4EA7" w:rsidRDefault="00864A79" w:rsidP="00A77568">
      <w:pPr>
        <w:pStyle w:val="Caption"/>
        <w:ind w:firstLine="0"/>
        <w:rPr>
          <w:i w:val="0"/>
          <w:iCs w:val="0"/>
          <w:color w:val="000000" w:themeColor="text1"/>
          <w:sz w:val="24"/>
          <w:szCs w:val="24"/>
        </w:rPr>
      </w:pPr>
      <w:bookmarkStart w:id="40" w:name="_Ref127449514"/>
      <w:r w:rsidRPr="00A77568">
        <w:rPr>
          <w:color w:val="000000" w:themeColor="text1"/>
          <w:sz w:val="24"/>
          <w:szCs w:val="24"/>
        </w:rPr>
        <w:t xml:space="preserve">Figure </w:t>
      </w:r>
      <w:r>
        <w:rPr>
          <w:color w:val="000000" w:themeColor="text1"/>
          <w:sz w:val="24"/>
          <w:szCs w:val="24"/>
        </w:rPr>
        <w:t>S</w:t>
      </w:r>
      <w:r w:rsidRPr="00A77568">
        <w:rPr>
          <w:color w:val="000000" w:themeColor="text1"/>
          <w:sz w:val="24"/>
          <w:szCs w:val="24"/>
        </w:rPr>
        <w:fldChar w:fldCharType="begin"/>
      </w:r>
      <w:r w:rsidRPr="00A77568">
        <w:rPr>
          <w:color w:val="000000" w:themeColor="text1"/>
          <w:sz w:val="24"/>
          <w:szCs w:val="24"/>
        </w:rPr>
        <w:instrText xml:space="preserve"> SEQ Figure \* ARABIC </w:instrText>
      </w:r>
      <w:r w:rsidRPr="00A77568">
        <w:rPr>
          <w:color w:val="000000" w:themeColor="text1"/>
          <w:sz w:val="24"/>
          <w:szCs w:val="24"/>
        </w:rPr>
        <w:fldChar w:fldCharType="separate"/>
      </w:r>
      <w:r w:rsidR="009E5695">
        <w:rPr>
          <w:noProof/>
          <w:color w:val="000000" w:themeColor="text1"/>
          <w:sz w:val="24"/>
          <w:szCs w:val="24"/>
        </w:rPr>
        <w:t>20</w:t>
      </w:r>
      <w:r w:rsidRPr="00A77568">
        <w:rPr>
          <w:color w:val="000000" w:themeColor="text1"/>
          <w:sz w:val="24"/>
          <w:szCs w:val="24"/>
        </w:rPr>
        <w:fldChar w:fldCharType="end"/>
      </w:r>
      <w:bookmarkEnd w:id="40"/>
      <w:r w:rsidRPr="00864A79">
        <w:rPr>
          <w:i w:val="0"/>
          <w:iCs w:val="0"/>
          <w:color w:val="000000" w:themeColor="text1"/>
          <w:sz w:val="24"/>
          <w:szCs w:val="24"/>
        </w:rPr>
        <w:t xml:space="preserve"> </w:t>
      </w:r>
      <w:r w:rsidR="00D43EB5">
        <w:rPr>
          <w:i w:val="0"/>
          <w:iCs w:val="0"/>
          <w:color w:val="000000" w:themeColor="text1"/>
          <w:sz w:val="24"/>
          <w:szCs w:val="24"/>
        </w:rPr>
        <w:t>Calculated v</w:t>
      </w:r>
      <w:r>
        <w:rPr>
          <w:i w:val="0"/>
          <w:iCs w:val="0"/>
          <w:color w:val="000000" w:themeColor="text1"/>
          <w:sz w:val="24"/>
          <w:szCs w:val="24"/>
        </w:rPr>
        <w:t xml:space="preserve">apor composition (mole fraction of species </w:t>
      </w:r>
      <w:proofErr w:type="spellStart"/>
      <w:r>
        <w:rPr>
          <w:color w:val="000000" w:themeColor="text1"/>
          <w:sz w:val="24"/>
          <w:szCs w:val="24"/>
        </w:rPr>
        <w:t>i</w:t>
      </w:r>
      <w:proofErr w:type="spellEnd"/>
      <w:r>
        <w:rPr>
          <w:i w:val="0"/>
          <w:iCs w:val="0"/>
          <w:color w:val="000000" w:themeColor="text1"/>
          <w:sz w:val="24"/>
          <w:szCs w:val="24"/>
        </w:rPr>
        <w:t>) against log</w:t>
      </w:r>
      <w:r w:rsidRPr="00864A79">
        <w:rPr>
          <w:i w:val="0"/>
          <w:iCs w:val="0"/>
          <w:color w:val="000000" w:themeColor="text1"/>
          <w:sz w:val="24"/>
          <w:szCs w:val="24"/>
          <w:vertAlign w:val="subscript"/>
        </w:rPr>
        <w:t>10</w:t>
      </w:r>
      <w:r>
        <w:rPr>
          <w:i w:val="0"/>
          <w:iCs w:val="0"/>
          <w:color w:val="000000" w:themeColor="text1"/>
          <w:sz w:val="24"/>
          <w:szCs w:val="24"/>
        </w:rPr>
        <w:t>(</w:t>
      </w:r>
      <w:r w:rsidRPr="00864A79">
        <w:rPr>
          <w:color w:val="000000" w:themeColor="text1"/>
          <w:sz w:val="24"/>
          <w:szCs w:val="24"/>
        </w:rPr>
        <w:t>f</w:t>
      </w:r>
      <w:r w:rsidRPr="00864A79">
        <w:rPr>
          <w:i w:val="0"/>
          <w:iCs w:val="0"/>
          <w:color w:val="000000" w:themeColor="text1"/>
          <w:sz w:val="24"/>
          <w:szCs w:val="24"/>
          <w:vertAlign w:val="subscript"/>
        </w:rPr>
        <w:t>O2</w:t>
      </w:r>
      <w:r>
        <w:rPr>
          <w:i w:val="0"/>
          <w:iCs w:val="0"/>
          <w:color w:val="000000" w:themeColor="text1"/>
          <w:sz w:val="24"/>
          <w:szCs w:val="24"/>
        </w:rPr>
        <w:t xml:space="preserve">) for arc basalt samples shown in Figure 6 of the main text (same symbol shapes and colours are used: diamond = matrix glass, circle = melt inclusion, grey = Marianas, blue = Bonin). Note the </w:t>
      </w:r>
      <w:r w:rsidR="00E7599D">
        <w:rPr>
          <w:i w:val="0"/>
          <w:iCs w:val="0"/>
          <w:color w:val="000000" w:themeColor="text1"/>
          <w:sz w:val="24"/>
          <w:szCs w:val="24"/>
        </w:rPr>
        <w:t>different</w:t>
      </w:r>
      <w:r>
        <w:rPr>
          <w:i w:val="0"/>
          <w:iCs w:val="0"/>
          <w:color w:val="000000" w:themeColor="text1"/>
          <w:sz w:val="24"/>
          <w:szCs w:val="24"/>
        </w:rPr>
        <w:t xml:space="preserve"> in y-axis scale</w:t>
      </w:r>
      <w:r w:rsidR="00E7599D">
        <w:rPr>
          <w:i w:val="0"/>
          <w:iCs w:val="0"/>
          <w:color w:val="000000" w:themeColor="text1"/>
          <w:sz w:val="24"/>
          <w:szCs w:val="24"/>
        </w:rPr>
        <w:t>s</w:t>
      </w:r>
      <w:r>
        <w:rPr>
          <w:i w:val="0"/>
          <w:iCs w:val="0"/>
          <w:color w:val="000000" w:themeColor="text1"/>
          <w:sz w:val="24"/>
          <w:szCs w:val="24"/>
        </w:rPr>
        <w:t xml:space="preserve"> </w:t>
      </w:r>
      <w:r w:rsidR="00E7599D">
        <w:rPr>
          <w:i w:val="0"/>
          <w:iCs w:val="0"/>
          <w:color w:val="000000" w:themeColor="text1"/>
          <w:sz w:val="24"/>
          <w:szCs w:val="24"/>
        </w:rPr>
        <w:t>for</w:t>
      </w:r>
      <w:r>
        <w:rPr>
          <w:i w:val="0"/>
          <w:iCs w:val="0"/>
          <w:color w:val="000000" w:themeColor="text1"/>
          <w:sz w:val="24"/>
          <w:szCs w:val="24"/>
        </w:rPr>
        <w:t xml:space="preserve"> the major species (CO</w:t>
      </w:r>
      <w:r w:rsidRPr="00864A79">
        <w:rPr>
          <w:i w:val="0"/>
          <w:iCs w:val="0"/>
          <w:color w:val="000000" w:themeColor="text1"/>
          <w:sz w:val="24"/>
          <w:szCs w:val="24"/>
          <w:vertAlign w:val="subscript"/>
        </w:rPr>
        <w:t>2</w:t>
      </w:r>
      <w:r>
        <w:rPr>
          <w:i w:val="0"/>
          <w:iCs w:val="0"/>
          <w:color w:val="000000" w:themeColor="text1"/>
          <w:sz w:val="24"/>
          <w:szCs w:val="24"/>
        </w:rPr>
        <w:t>, H</w:t>
      </w:r>
      <w:r w:rsidRPr="00864A79">
        <w:rPr>
          <w:i w:val="0"/>
          <w:iCs w:val="0"/>
          <w:color w:val="000000" w:themeColor="text1"/>
          <w:sz w:val="24"/>
          <w:szCs w:val="24"/>
          <w:vertAlign w:val="subscript"/>
        </w:rPr>
        <w:t>2</w:t>
      </w:r>
      <w:r>
        <w:rPr>
          <w:i w:val="0"/>
          <w:iCs w:val="0"/>
          <w:color w:val="000000" w:themeColor="text1"/>
          <w:sz w:val="24"/>
          <w:szCs w:val="24"/>
        </w:rPr>
        <w:t>O, and SO</w:t>
      </w:r>
      <w:r w:rsidRPr="00864A79">
        <w:rPr>
          <w:i w:val="0"/>
          <w:iCs w:val="0"/>
          <w:color w:val="000000" w:themeColor="text1"/>
          <w:sz w:val="24"/>
          <w:szCs w:val="24"/>
          <w:vertAlign w:val="subscript"/>
        </w:rPr>
        <w:t>2</w:t>
      </w:r>
      <w:r>
        <w:rPr>
          <w:i w:val="0"/>
          <w:iCs w:val="0"/>
          <w:color w:val="000000" w:themeColor="text1"/>
          <w:sz w:val="24"/>
          <w:szCs w:val="24"/>
        </w:rPr>
        <w:t xml:space="preserve">: 0–1) </w:t>
      </w:r>
      <w:r w:rsidR="00E7599D">
        <w:rPr>
          <w:i w:val="0"/>
          <w:iCs w:val="0"/>
          <w:color w:val="000000" w:themeColor="text1"/>
          <w:sz w:val="24"/>
          <w:szCs w:val="24"/>
        </w:rPr>
        <w:t>and for</w:t>
      </w:r>
      <w:r>
        <w:rPr>
          <w:i w:val="0"/>
          <w:iCs w:val="0"/>
          <w:color w:val="000000" w:themeColor="text1"/>
          <w:sz w:val="24"/>
          <w:szCs w:val="24"/>
        </w:rPr>
        <w:t xml:space="preserve"> the minor/trace species (CO, H</w:t>
      </w:r>
      <w:r w:rsidRPr="00864A79">
        <w:rPr>
          <w:i w:val="0"/>
          <w:iCs w:val="0"/>
          <w:color w:val="000000" w:themeColor="text1"/>
          <w:sz w:val="24"/>
          <w:szCs w:val="24"/>
          <w:vertAlign w:val="subscript"/>
        </w:rPr>
        <w:t>2</w:t>
      </w:r>
      <w:r>
        <w:rPr>
          <w:i w:val="0"/>
          <w:iCs w:val="0"/>
          <w:color w:val="000000" w:themeColor="text1"/>
          <w:sz w:val="24"/>
          <w:szCs w:val="24"/>
        </w:rPr>
        <w:t>, S</w:t>
      </w:r>
      <w:r w:rsidRPr="00864A79">
        <w:rPr>
          <w:i w:val="0"/>
          <w:iCs w:val="0"/>
          <w:color w:val="000000" w:themeColor="text1"/>
          <w:sz w:val="24"/>
          <w:szCs w:val="24"/>
          <w:vertAlign w:val="subscript"/>
        </w:rPr>
        <w:t>2</w:t>
      </w:r>
      <w:r>
        <w:rPr>
          <w:i w:val="0"/>
          <w:iCs w:val="0"/>
          <w:color w:val="000000" w:themeColor="text1"/>
          <w:sz w:val="24"/>
          <w:szCs w:val="24"/>
        </w:rPr>
        <w:t>, OCS, CH</w:t>
      </w:r>
      <w:r w:rsidRPr="00864A79">
        <w:rPr>
          <w:i w:val="0"/>
          <w:iCs w:val="0"/>
          <w:color w:val="000000" w:themeColor="text1"/>
          <w:sz w:val="24"/>
          <w:szCs w:val="24"/>
          <w:vertAlign w:val="subscript"/>
        </w:rPr>
        <w:t>4</w:t>
      </w:r>
      <w:r>
        <w:rPr>
          <w:i w:val="0"/>
          <w:iCs w:val="0"/>
          <w:color w:val="000000" w:themeColor="text1"/>
          <w:sz w:val="24"/>
          <w:szCs w:val="24"/>
        </w:rPr>
        <w:t>, and H</w:t>
      </w:r>
      <w:r w:rsidRPr="00864A79">
        <w:rPr>
          <w:i w:val="0"/>
          <w:iCs w:val="0"/>
          <w:color w:val="000000" w:themeColor="text1"/>
          <w:sz w:val="24"/>
          <w:szCs w:val="24"/>
          <w:vertAlign w:val="subscript"/>
        </w:rPr>
        <w:t>2</w:t>
      </w:r>
      <w:r>
        <w:rPr>
          <w:i w:val="0"/>
          <w:iCs w:val="0"/>
          <w:color w:val="000000" w:themeColor="text1"/>
          <w:sz w:val="24"/>
          <w:szCs w:val="24"/>
        </w:rPr>
        <w:t>S: 0.0–0.1).</w:t>
      </w:r>
    </w:p>
    <w:p w14:paraId="2A0DB1E2" w14:textId="77777777" w:rsidR="008D4EA7" w:rsidRDefault="008D4EA7">
      <w:pPr>
        <w:rPr>
          <w:rFonts w:asciiTheme="majorBidi" w:eastAsiaTheme="minorEastAsia" w:hAnsiTheme="majorBidi"/>
          <w:color w:val="000000" w:themeColor="text1"/>
        </w:rPr>
      </w:pPr>
      <w:r>
        <w:rPr>
          <w:i/>
          <w:iCs/>
          <w:color w:val="000000" w:themeColor="text1"/>
        </w:rPr>
        <w:br w:type="page"/>
      </w:r>
    </w:p>
    <w:p w14:paraId="01AA9D14" w14:textId="77777777" w:rsidR="009C577A" w:rsidRDefault="009C577A" w:rsidP="00A77568">
      <w:pPr>
        <w:pStyle w:val="Caption"/>
        <w:ind w:firstLine="0"/>
        <w:rPr>
          <w:i w:val="0"/>
          <w:iCs w:val="0"/>
          <w:color w:val="000000" w:themeColor="text1"/>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8"/>
        <w:gridCol w:w="3009"/>
        <w:gridCol w:w="3009"/>
      </w:tblGrid>
      <w:tr w:rsidR="009E5695" w14:paraId="25EC693D" w14:textId="77777777" w:rsidTr="004013A3">
        <w:tc>
          <w:tcPr>
            <w:tcW w:w="3005" w:type="dxa"/>
          </w:tcPr>
          <w:p w14:paraId="09974400" w14:textId="587D9B3D" w:rsidR="009E5695" w:rsidRDefault="009E5695" w:rsidP="009E5695">
            <w:r>
              <w:rPr>
                <w:noProof/>
              </w:rPr>
              <w:drawing>
                <wp:inline distT="0" distB="0" distL="0" distR="0" wp14:anchorId="65B94CB3" wp14:editId="51814A36">
                  <wp:extent cx="1800000" cy="1628713"/>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rotWithShape="1">
                          <a:blip r:embed="rId29">
                            <a:extLst>
                              <a:ext uri="{28A0092B-C50C-407E-A947-70E740481C1C}">
                                <a14:useLocalDpi xmlns:a14="http://schemas.microsoft.com/office/drawing/2010/main" val="0"/>
                              </a:ext>
                            </a:extLst>
                          </a:blip>
                          <a:srcRect l="21034" t="7193" r="20712" b="10811"/>
                          <a:stretch/>
                        </pic:blipFill>
                        <pic:spPr bwMode="auto">
                          <a:xfrm>
                            <a:off x="0" y="0"/>
                            <a:ext cx="1800000" cy="1628713"/>
                          </a:xfrm>
                          <a:prstGeom prst="rect">
                            <a:avLst/>
                          </a:prstGeom>
                          <a:ln>
                            <a:noFill/>
                          </a:ln>
                          <a:extLst>
                            <a:ext uri="{53640926-AAD7-44D8-BBD7-CCE9431645EC}">
                              <a14:shadowObscured xmlns:a14="http://schemas.microsoft.com/office/drawing/2010/main"/>
                            </a:ext>
                          </a:extLst>
                        </pic:spPr>
                      </pic:pic>
                    </a:graphicData>
                  </a:graphic>
                </wp:inline>
              </w:drawing>
            </w:r>
          </w:p>
        </w:tc>
        <w:tc>
          <w:tcPr>
            <w:tcW w:w="3005" w:type="dxa"/>
          </w:tcPr>
          <w:p w14:paraId="0B187AF6" w14:textId="4013CE39" w:rsidR="009E5695" w:rsidRDefault="009E5695" w:rsidP="009E5695">
            <w:r>
              <w:rPr>
                <w:noProof/>
              </w:rPr>
              <w:drawing>
                <wp:inline distT="0" distB="0" distL="0" distR="0" wp14:anchorId="52DB3261" wp14:editId="302E7F19">
                  <wp:extent cx="1800000" cy="1643171"/>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rotWithShape="1">
                          <a:blip r:embed="rId30">
                            <a:extLst>
                              <a:ext uri="{28A0092B-C50C-407E-A947-70E740481C1C}">
                                <a14:useLocalDpi xmlns:a14="http://schemas.microsoft.com/office/drawing/2010/main" val="0"/>
                              </a:ext>
                            </a:extLst>
                          </a:blip>
                          <a:srcRect l="20809" t="6475" r="20704" b="10472"/>
                          <a:stretch/>
                        </pic:blipFill>
                        <pic:spPr bwMode="auto">
                          <a:xfrm>
                            <a:off x="0" y="0"/>
                            <a:ext cx="1800000" cy="1643171"/>
                          </a:xfrm>
                          <a:prstGeom prst="rect">
                            <a:avLst/>
                          </a:prstGeom>
                          <a:ln>
                            <a:noFill/>
                          </a:ln>
                          <a:extLst>
                            <a:ext uri="{53640926-AAD7-44D8-BBD7-CCE9431645EC}">
                              <a14:shadowObscured xmlns:a14="http://schemas.microsoft.com/office/drawing/2010/main"/>
                            </a:ext>
                          </a:extLst>
                        </pic:spPr>
                      </pic:pic>
                    </a:graphicData>
                  </a:graphic>
                </wp:inline>
              </w:drawing>
            </w:r>
          </w:p>
        </w:tc>
        <w:tc>
          <w:tcPr>
            <w:tcW w:w="3006" w:type="dxa"/>
          </w:tcPr>
          <w:p w14:paraId="4531E35E" w14:textId="577DAACC" w:rsidR="009E5695" w:rsidRDefault="009E5695" w:rsidP="004013A3">
            <w:pPr>
              <w:keepNext/>
            </w:pPr>
            <w:r>
              <w:rPr>
                <w:noProof/>
              </w:rPr>
              <w:drawing>
                <wp:inline distT="0" distB="0" distL="0" distR="0" wp14:anchorId="0B0E3346" wp14:editId="56FE677A">
                  <wp:extent cx="1800000" cy="1616833"/>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1">
                            <a:extLst>
                              <a:ext uri="{28A0092B-C50C-407E-A947-70E740481C1C}">
                                <a14:useLocalDpi xmlns:a14="http://schemas.microsoft.com/office/drawing/2010/main" val="0"/>
                              </a:ext>
                            </a:extLst>
                          </a:blip>
                          <a:srcRect l="20113" t="5395" r="19674" b="10472"/>
                          <a:stretch/>
                        </pic:blipFill>
                        <pic:spPr bwMode="auto">
                          <a:xfrm>
                            <a:off x="0" y="0"/>
                            <a:ext cx="1800000" cy="161683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CB3619E" w14:textId="6A6DF87E" w:rsidR="009E5695" w:rsidRDefault="009E5695" w:rsidP="004013A3">
      <w:pPr>
        <w:pStyle w:val="Caption"/>
        <w:ind w:firstLine="0"/>
        <w:rPr>
          <w:i w:val="0"/>
          <w:iCs w:val="0"/>
          <w:color w:val="000000" w:themeColor="text1"/>
          <w:sz w:val="24"/>
          <w:szCs w:val="24"/>
        </w:rPr>
      </w:pPr>
      <w:r w:rsidRPr="004013A3">
        <w:rPr>
          <w:color w:val="000000" w:themeColor="text1"/>
          <w:sz w:val="24"/>
          <w:szCs w:val="24"/>
        </w:rPr>
        <w:t xml:space="preserve">Figure </w:t>
      </w:r>
      <w:r>
        <w:rPr>
          <w:color w:val="000000" w:themeColor="text1"/>
          <w:sz w:val="24"/>
          <w:szCs w:val="24"/>
        </w:rPr>
        <w:t>S</w:t>
      </w:r>
      <w:r w:rsidRPr="004013A3">
        <w:rPr>
          <w:color w:val="000000" w:themeColor="text1"/>
          <w:sz w:val="24"/>
          <w:szCs w:val="24"/>
        </w:rPr>
        <w:fldChar w:fldCharType="begin"/>
      </w:r>
      <w:r w:rsidRPr="004013A3">
        <w:rPr>
          <w:color w:val="000000" w:themeColor="text1"/>
          <w:sz w:val="24"/>
          <w:szCs w:val="24"/>
        </w:rPr>
        <w:instrText xml:space="preserve"> SEQ Figure \* ARABIC </w:instrText>
      </w:r>
      <w:r w:rsidRPr="004013A3">
        <w:rPr>
          <w:color w:val="000000" w:themeColor="text1"/>
          <w:sz w:val="24"/>
          <w:szCs w:val="24"/>
        </w:rPr>
        <w:fldChar w:fldCharType="separate"/>
      </w:r>
      <w:r w:rsidRPr="004013A3">
        <w:rPr>
          <w:noProof/>
          <w:color w:val="000000" w:themeColor="text1"/>
          <w:sz w:val="24"/>
          <w:szCs w:val="24"/>
        </w:rPr>
        <w:t>21</w:t>
      </w:r>
      <w:r w:rsidRPr="004013A3">
        <w:rPr>
          <w:color w:val="000000" w:themeColor="text1"/>
          <w:sz w:val="24"/>
          <w:szCs w:val="24"/>
        </w:rPr>
        <w:fldChar w:fldCharType="end"/>
      </w:r>
      <w:r>
        <w:rPr>
          <w:i w:val="0"/>
          <w:iCs w:val="0"/>
          <w:color w:val="000000" w:themeColor="text1"/>
          <w:sz w:val="24"/>
          <w:szCs w:val="24"/>
        </w:rPr>
        <w:t xml:space="preserve"> Ternary diagrams for calculated vapor composition for samples shown in Figure 6 in the main text for MORB (left-hand panel; Figure S18), OIB (middle panel; Figure S19), and arc basalts (right-hand panel; Figure S20). The same symbols and colours as Figure 6 are used. a = CO</w:t>
      </w:r>
      <w:r w:rsidRPr="004013A3">
        <w:rPr>
          <w:i w:val="0"/>
          <w:iCs w:val="0"/>
          <w:color w:val="000000" w:themeColor="text1"/>
          <w:sz w:val="24"/>
          <w:szCs w:val="24"/>
          <w:vertAlign w:val="subscript"/>
        </w:rPr>
        <w:t>2</w:t>
      </w:r>
      <w:r w:rsidR="001465A9">
        <w:rPr>
          <w:i w:val="0"/>
          <w:iCs w:val="0"/>
          <w:color w:val="000000" w:themeColor="text1"/>
          <w:sz w:val="24"/>
          <w:szCs w:val="24"/>
        </w:rPr>
        <w:t xml:space="preserve"> (top vertex), b = H</w:t>
      </w:r>
      <w:r w:rsidR="001465A9" w:rsidRPr="004013A3">
        <w:rPr>
          <w:i w:val="0"/>
          <w:iCs w:val="0"/>
          <w:color w:val="000000" w:themeColor="text1"/>
          <w:sz w:val="24"/>
          <w:szCs w:val="24"/>
          <w:vertAlign w:val="subscript"/>
        </w:rPr>
        <w:t>2</w:t>
      </w:r>
      <w:r w:rsidR="001465A9">
        <w:rPr>
          <w:i w:val="0"/>
          <w:iCs w:val="0"/>
          <w:color w:val="000000" w:themeColor="text1"/>
          <w:sz w:val="24"/>
          <w:szCs w:val="24"/>
        </w:rPr>
        <w:t>O (left-hand vertex), and c = SO</w:t>
      </w:r>
      <w:r w:rsidR="001465A9" w:rsidRPr="004013A3">
        <w:rPr>
          <w:i w:val="0"/>
          <w:iCs w:val="0"/>
          <w:color w:val="000000" w:themeColor="text1"/>
          <w:sz w:val="24"/>
          <w:szCs w:val="24"/>
          <w:vertAlign w:val="subscript"/>
        </w:rPr>
        <w:t>2</w:t>
      </w:r>
      <w:r w:rsidR="001465A9">
        <w:rPr>
          <w:i w:val="0"/>
          <w:iCs w:val="0"/>
          <w:color w:val="000000" w:themeColor="text1"/>
          <w:sz w:val="24"/>
          <w:szCs w:val="24"/>
        </w:rPr>
        <w:t xml:space="preserve"> (right-hand vertex).</w:t>
      </w:r>
    </w:p>
    <w:p w14:paraId="17E2DCB8" w14:textId="77777777" w:rsidR="008D4EA7" w:rsidRPr="008D4EA7" w:rsidRDefault="008D4EA7" w:rsidP="008D4EA7"/>
    <w:p w14:paraId="663E2BF6" w14:textId="77777777" w:rsidR="00C21698" w:rsidRDefault="00C21698" w:rsidP="00C21698">
      <w:pPr>
        <w:keepNext/>
        <w:jc w:val="center"/>
      </w:pPr>
      <w:r>
        <w:rPr>
          <w:noProof/>
        </w:rPr>
        <w:drawing>
          <wp:inline distT="0" distB="0" distL="0" distR="0" wp14:anchorId="2BBF89D5" wp14:editId="6E176D4B">
            <wp:extent cx="4584700" cy="27432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584700" cy="2743200"/>
                    </a:xfrm>
                    <a:prstGeom prst="rect">
                      <a:avLst/>
                    </a:prstGeom>
                  </pic:spPr>
                </pic:pic>
              </a:graphicData>
            </a:graphic>
          </wp:inline>
        </w:drawing>
      </w:r>
    </w:p>
    <w:p w14:paraId="5BD6203C" w14:textId="51304B52" w:rsidR="006E22FA" w:rsidRPr="008D4EA7" w:rsidRDefault="00C21698" w:rsidP="008D4EA7">
      <w:pPr>
        <w:pStyle w:val="Caption"/>
        <w:ind w:firstLine="0"/>
        <w:rPr>
          <w:i w:val="0"/>
          <w:iCs w:val="0"/>
          <w:color w:val="000000" w:themeColor="text1"/>
          <w:sz w:val="24"/>
          <w:szCs w:val="24"/>
        </w:rPr>
      </w:pPr>
      <w:r w:rsidRPr="00C21698">
        <w:rPr>
          <w:color w:val="000000" w:themeColor="text1"/>
          <w:sz w:val="24"/>
          <w:szCs w:val="24"/>
        </w:rPr>
        <w:t xml:space="preserve">Figure </w:t>
      </w:r>
      <w:r>
        <w:rPr>
          <w:color w:val="000000" w:themeColor="text1"/>
          <w:sz w:val="24"/>
          <w:szCs w:val="24"/>
        </w:rPr>
        <w:t>S</w:t>
      </w:r>
      <w:r w:rsidRPr="00C21698">
        <w:rPr>
          <w:color w:val="000000" w:themeColor="text1"/>
          <w:sz w:val="24"/>
          <w:szCs w:val="24"/>
        </w:rPr>
        <w:fldChar w:fldCharType="begin"/>
      </w:r>
      <w:r w:rsidRPr="00C21698">
        <w:rPr>
          <w:color w:val="000000" w:themeColor="text1"/>
          <w:sz w:val="24"/>
          <w:szCs w:val="24"/>
        </w:rPr>
        <w:instrText xml:space="preserve"> SEQ Figure \* ARABIC </w:instrText>
      </w:r>
      <w:r w:rsidRPr="00C21698">
        <w:rPr>
          <w:color w:val="000000" w:themeColor="text1"/>
          <w:sz w:val="24"/>
          <w:szCs w:val="24"/>
        </w:rPr>
        <w:fldChar w:fldCharType="separate"/>
      </w:r>
      <w:r w:rsidR="009E5695">
        <w:rPr>
          <w:noProof/>
          <w:color w:val="000000" w:themeColor="text1"/>
          <w:sz w:val="24"/>
          <w:szCs w:val="24"/>
        </w:rPr>
        <w:t>22</w:t>
      </w:r>
      <w:r w:rsidRPr="00C21698">
        <w:rPr>
          <w:color w:val="000000" w:themeColor="text1"/>
          <w:sz w:val="24"/>
          <w:szCs w:val="24"/>
        </w:rPr>
        <w:fldChar w:fldCharType="end"/>
      </w:r>
      <w:r>
        <w:rPr>
          <w:i w:val="0"/>
          <w:iCs w:val="0"/>
          <w:color w:val="000000" w:themeColor="text1"/>
          <w:sz w:val="24"/>
          <w:szCs w:val="24"/>
        </w:rPr>
        <w:t xml:space="preserve"> Calculated vapor composition (mole fraction CO</w:t>
      </w:r>
      <w:r w:rsidRPr="00C21698">
        <w:rPr>
          <w:i w:val="0"/>
          <w:iCs w:val="0"/>
          <w:color w:val="000000" w:themeColor="text1"/>
          <w:sz w:val="24"/>
          <w:szCs w:val="24"/>
          <w:vertAlign w:val="subscript"/>
        </w:rPr>
        <w:t>2</w:t>
      </w:r>
      <w:r>
        <w:rPr>
          <w:i w:val="0"/>
          <w:iCs w:val="0"/>
          <w:color w:val="000000" w:themeColor="text1"/>
          <w:sz w:val="24"/>
          <w:szCs w:val="24"/>
        </w:rPr>
        <w:t xml:space="preserve"> = solid lines, or CO = dashed lines) against log</w:t>
      </w:r>
      <w:r w:rsidRPr="00864A79">
        <w:rPr>
          <w:i w:val="0"/>
          <w:iCs w:val="0"/>
          <w:color w:val="000000" w:themeColor="text1"/>
          <w:sz w:val="24"/>
          <w:szCs w:val="24"/>
          <w:vertAlign w:val="subscript"/>
        </w:rPr>
        <w:t>10</w:t>
      </w:r>
      <w:r>
        <w:rPr>
          <w:i w:val="0"/>
          <w:iCs w:val="0"/>
          <w:color w:val="000000" w:themeColor="text1"/>
          <w:sz w:val="24"/>
          <w:szCs w:val="24"/>
        </w:rPr>
        <w:t>(</w:t>
      </w:r>
      <w:r w:rsidRPr="00864A79">
        <w:rPr>
          <w:color w:val="000000" w:themeColor="text1"/>
          <w:sz w:val="24"/>
          <w:szCs w:val="24"/>
        </w:rPr>
        <w:t>f</w:t>
      </w:r>
      <w:r w:rsidRPr="00864A79">
        <w:rPr>
          <w:i w:val="0"/>
          <w:iCs w:val="0"/>
          <w:color w:val="000000" w:themeColor="text1"/>
          <w:sz w:val="24"/>
          <w:szCs w:val="24"/>
          <w:vertAlign w:val="subscript"/>
        </w:rPr>
        <w:t>O2</w:t>
      </w:r>
      <w:r>
        <w:rPr>
          <w:i w:val="0"/>
          <w:iCs w:val="0"/>
          <w:color w:val="000000" w:themeColor="text1"/>
          <w:sz w:val="24"/>
          <w:szCs w:val="24"/>
        </w:rPr>
        <w:t xml:space="preserve">) for lunar (blue) and </w:t>
      </w:r>
      <w:proofErr w:type="spellStart"/>
      <w:r>
        <w:rPr>
          <w:i w:val="0"/>
          <w:iCs w:val="0"/>
          <w:color w:val="000000" w:themeColor="text1"/>
          <w:sz w:val="24"/>
          <w:szCs w:val="24"/>
        </w:rPr>
        <w:t>martian</w:t>
      </w:r>
      <w:proofErr w:type="spellEnd"/>
      <w:r>
        <w:rPr>
          <w:i w:val="0"/>
          <w:iCs w:val="0"/>
          <w:color w:val="000000" w:themeColor="text1"/>
          <w:sz w:val="24"/>
          <w:szCs w:val="24"/>
        </w:rPr>
        <w:t xml:space="preserve"> (red) samples shown in Figure </w:t>
      </w:r>
      <w:r w:rsidR="008D4EA7">
        <w:rPr>
          <w:i w:val="0"/>
          <w:iCs w:val="0"/>
          <w:color w:val="000000" w:themeColor="text1"/>
          <w:sz w:val="24"/>
          <w:szCs w:val="24"/>
        </w:rPr>
        <w:t>7</w:t>
      </w:r>
      <w:r>
        <w:rPr>
          <w:i w:val="0"/>
          <w:iCs w:val="0"/>
          <w:color w:val="000000" w:themeColor="text1"/>
          <w:sz w:val="24"/>
          <w:szCs w:val="24"/>
        </w:rPr>
        <w:t xml:space="preserve"> of the main text.</w:t>
      </w:r>
    </w:p>
    <w:p w14:paraId="7E9029F8" w14:textId="77777777" w:rsidR="00F93C27" w:rsidRPr="00E9167C" w:rsidRDefault="00F93C27" w:rsidP="00E9167C"/>
    <w:p w14:paraId="6F6F0804" w14:textId="59D82736" w:rsidR="008C4D3C" w:rsidRPr="00372AD9" w:rsidRDefault="008C4D3C" w:rsidP="008C4D3C">
      <w:pPr>
        <w:pStyle w:val="Heading1"/>
      </w:pPr>
      <w:r>
        <w:t>References</w:t>
      </w:r>
    </w:p>
    <w:p w14:paraId="177198BE" w14:textId="730BD616" w:rsidR="00D66D9A" w:rsidRPr="00D66D9A" w:rsidRDefault="008C4D3C" w:rsidP="00D66D9A">
      <w:pPr>
        <w:widowControl w:val="0"/>
        <w:autoSpaceDE w:val="0"/>
        <w:autoSpaceDN w:val="0"/>
        <w:adjustRightInd w:val="0"/>
        <w:ind w:left="480" w:hanging="480"/>
        <w:rPr>
          <w:rFonts w:ascii="Times New Roman" w:hAnsi="Times New Roman" w:cs="Times New Roman"/>
          <w:noProof/>
        </w:rPr>
      </w:pPr>
      <w:r w:rsidRPr="008C4D3C">
        <w:rPr>
          <w:rFonts w:ascii="Times New Roman" w:hAnsi="Times New Roman" w:cs="Times New Roman"/>
        </w:rPr>
        <w:fldChar w:fldCharType="begin" w:fldLock="1"/>
      </w:r>
      <w:r w:rsidRPr="008C4D3C">
        <w:rPr>
          <w:rFonts w:ascii="Times New Roman" w:hAnsi="Times New Roman" w:cs="Times New Roman"/>
        </w:rPr>
        <w:instrText xml:space="preserve">ADDIN Mendeley Bibliography CSL_BIBLIOGRAPHY </w:instrText>
      </w:r>
      <w:r w:rsidRPr="008C4D3C">
        <w:rPr>
          <w:rFonts w:ascii="Times New Roman" w:hAnsi="Times New Roman" w:cs="Times New Roman"/>
        </w:rPr>
        <w:fldChar w:fldCharType="separate"/>
      </w:r>
      <w:r w:rsidR="00D66D9A" w:rsidRPr="00D66D9A">
        <w:rPr>
          <w:rFonts w:ascii="Times New Roman" w:hAnsi="Times New Roman" w:cs="Times New Roman"/>
          <w:noProof/>
        </w:rPr>
        <w:t>Abramov, S.S., 2000. Thermodynamic Modeling of Biotite Stability in Assemblage with Feldspar, Quartz, Fayalite, Pyrrhotite, and Ilmenite in a C–O–H–S–F Fluid at 427–1027°C and 2 kbar. Geochemistry Int. 38, 464–479.</w:t>
      </w:r>
    </w:p>
    <w:p w14:paraId="7BFD74D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Allison, C.M., Roggensack, K., Clarke, A.B., 2022. MafiCH: a general model for H2O–CO2 solubility in mafic magmas. Contrib. to Mineral. Petrol. 177, 1–22. https://doi.org/10.1007/S00410-022-01903-Y/FIGURES/10</w:t>
      </w:r>
    </w:p>
    <w:p w14:paraId="4577F7F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Allison, C.M., Roggensack, K., Clarke, A.B., 2019. H2O–CO2 solubility in alkali-rich mafic magmas: new experiments at mid-crustal pressures. Contrib. to Mineral. Petrol. 174, 58. https://doi.org/10.1007/s00410-019-1592-4</w:t>
      </w:r>
    </w:p>
    <w:p w14:paraId="2671218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lastRenderedPageBreak/>
        <w:t>Ardia, P., Hirschmann, M.M., Withers, A.C., Stanley, B.D., 2013. Solubility of CH4 in a synthetic basaltic melt, with applications to atmosphere–magma ocean–core partitioning of volatiles and to the evolution of the Martian atmosphere. Geochim. Cosmochim. Acta 114, 52–71. https://doi.org/10.1016/J.GCA.2013.03.028</w:t>
      </w:r>
    </w:p>
    <w:p w14:paraId="5D207E4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Armstrong, L.S., Hirschmann, M.M., Stanley, B.D., Falksen, E.G., Jacobsen, S.D., 2015. Speciation and solubility of reduced C-O-H-N volatiles in mafic melt: Implications for volcanism, atmospheric evolution, and deep volatile cycles in the terrestrial planets. Geochim. Cosmochim. Acta 171, 283–302. https://doi.org/10.1016/j.gca.2015.07.007</w:t>
      </w:r>
    </w:p>
    <w:p w14:paraId="429A41A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Baker, D.R., Moretti, R., 2011. Modeling the Solubility of Sulfur in Magmas: A 50-Year Old Geochemical Challenge. Rev. Mineral. Geochemistry 73, 167–213. https://doi.org/10.2138/RMG.2011.73.7</w:t>
      </w:r>
    </w:p>
    <w:p w14:paraId="32D4F91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Baumgartner, R.J., Baratoux, D., Gaillard, F., Fiorentini, M.L., 2017. Numerical modelling of erosion and assimilation of sulfur-rich substrate by martian lava flows: Implications for the genesis of massive sulfide mineralization on Mars. Icarus 296, 257–274. https://doi.org/10.1016/j.icarus.2017.06.016</w:t>
      </w:r>
    </w:p>
    <w:p w14:paraId="2F657A6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Behrens, H., Ohlhorst, S., Holtz, F., Champenois, M., 2004. CO2 solubility in dacitic melts equilibrated with H2O-CO2 fluids: Implications for modeling the solubility of CO2 in silicic melts. Geochim. Cosmochim. Acta 68, 4687–4703. https://doi.org/10.1016/J.GCA.2004.04.019</w:t>
      </w:r>
    </w:p>
    <w:p w14:paraId="63162D2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Blank, J.G., Brooker, R.A., 1994. Experimental studies of carbon dioxide in silicate melts: Solubility, speciation, and stable carbon isotope behaviour. Rev. Mineral. Geochemistry 30, 157–186.</w:t>
      </w:r>
    </w:p>
    <w:p w14:paraId="64CEA8D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Blank, J.G., Stolper, E.M., Carroll, M.R., 1993. Solubilities of carbon dioxide and water in rhyolitic melt at 850°C and 750 bars. Earth Planet. Sci. Lett. 119, 27–36. https://doi.org/10.1016/0012-821X(93)90004-S</w:t>
      </w:r>
    </w:p>
    <w:p w14:paraId="673086D0"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Botcharnikov, R.E., Behrens, H., Holtz, F., 2006. Solubility and speciation of C–O–H fluids in andesitic melt at T = 1100–1300 °C and P = 200 and 500 MPa. Chem. Geol. 229, 125–143. https://doi.org/10.1016/J.CHEMGEO.2006.01.016</w:t>
      </w:r>
    </w:p>
    <w:p w14:paraId="4BB0CEA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Boulliung, J., Wood, B.J., 2023. Corrigendum to “SO2 solubility and degassing behavior in silicate melts” [Geochim. Cosmochim. Acta 336 (2022) 150–164]. Geochim. Cosmochim. Acta 343, 420. https://doi.org/10.1016/J.GCA.2022.11.025</w:t>
      </w:r>
    </w:p>
    <w:p w14:paraId="58F5990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Boulliung, J., Wood, B.J., 2022. SO2 solubility and degassing behavior in silicate melts. Geochim. Cosmochim. Acta Vol. , 1 Novemb. 2022, Pages 150-164 336, 150–164. https://doi.org/10.1016/j.gca.2022.08.032</w:t>
      </w:r>
    </w:p>
    <w:p w14:paraId="60FC03F2"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Brooker, R.A., Kohn, S.C., Holloway, J.R., McMillan, P.F., Carroll, M.R., 1999. Solubility, speciation and dissolution mechanisms for CO2 in melts on the NaAlO2-SiO2 join. Geochim. Cosmochim. Acta 63, 3549–3565.</w:t>
      </w:r>
    </w:p>
    <w:p w14:paraId="3F303E6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Brounce, M.N., Stolper, E.M., Eiler, J., 2017. Redox variations in Mauna Kea lavas, the oxygen fugacity of the Hawaiian plume, and the role of volcanic gases in Earth’s oxygenation. Proc. Natl. Acad. Sci. U. S. A. 114. https://doi.org/10.1073/pnas.1619527114</w:t>
      </w:r>
    </w:p>
    <w:p w14:paraId="38D7711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Carroll, M.R., Rutherford, M.J., 1998. Sulfur speciation in hydrous experimental glasses of varying oxidation state: Results from measured wavelength shifts of sulfur X-rays. Am. Mineral. 73, 845–849.</w:t>
      </w:r>
    </w:p>
    <w:p w14:paraId="3C1AD14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Chowdhury, P., Dasgupta, R., 2019. Effect of sulfate on the basaltic liquidus and Sulfur Concentration at Anhydrite Saturation (SCAS) of hydrous basalts – Implications for sulfur cycle in subduction zones. Chem. Geol. 522, 162–174. https://doi.org/10.1016/J.CHEMGEO.2019.05.020</w:t>
      </w:r>
    </w:p>
    <w:p w14:paraId="6BDC7586"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lastRenderedPageBreak/>
        <w:t>Clemente, B., SCAILLET, B., PICHAVANT, M., 2004. The Solubility of Sulphur in Hydrous Rhyolitic Melts. J. Petrol. 45, 2171–2196. https://doi.org/10.1093/petrology/egh052</w:t>
      </w:r>
    </w:p>
    <w:p w14:paraId="03958DD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Cottrell, E., Kelley, K.A., Lanzirotti, A., Fischer, R.A., 2009. High-precision determination of iron oxidation state in silicate glasses using XANES. Chem. Geol. 268, 167–179. https://doi.org/10.1016/j.chemgeo.2009.08.008</w:t>
      </w:r>
    </w:p>
    <w:p w14:paraId="1B703E9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Dixon, J.E., Clague, D.A., Stolper, E.M., 1991. Degassing History of Water, Sulfur, and Carbon in Submarine Lavas from Kilauea Volcano, Hawaii. J. Geol. 99, 371–394. https://doi.org/10.1086/629501</w:t>
      </w:r>
    </w:p>
    <w:p w14:paraId="3C1ED30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Dixon, J.E., Stolper, E.M., 1995. An experimental study water and carbon dioxide solubilities in mid-ocean ridge basaltic liquids. Part II: Application to degassing. J. Petrol. 36, 1633–1646.</w:t>
      </w:r>
    </w:p>
    <w:p w14:paraId="05923352"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Dixon, J.E., Stolper, E.M., Holloway, J.R., 1995. An experimental study of water and carbon dioxide solubilities in mid-ocean ridge basaltic liquids. Part I: Calibration and solubility models. J. Petrol. 36, 1607–1631. https://doi.org/10.1093/oxfordjournals.petrology.a037267</w:t>
      </w:r>
    </w:p>
    <w:p w14:paraId="54C795B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Ferry, J.M., Baumgartner, L., 2019. Thermodynamic models of molecular fluids at the elevated pressures and temperatures of crustal metamorphism. Thermodyn. Model. Geol. Mater. Miner. Fluids, Melts 17, 323–366. https://doi.org/10.1515/9781501508950-011/MACHINEREADABLECITATION/RIS</w:t>
      </w:r>
    </w:p>
    <w:p w14:paraId="07C7B83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Fincham, C.J.B., Richardson, F.D., 1954. The behaviour of sulphur in silicate and aluminate melts. Proc. R. Soc. London. Ser. A. Math. Phys. Sci. 223, 40–62. https://doi.org/10.1098/rspa.1954.0099</w:t>
      </w:r>
    </w:p>
    <w:p w14:paraId="13F3FAC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Fischer, T.P., Chiodini, G., 2015. Volcanic, Magmatic and Hydrothermal Gases. Encycl. Volcanoes 779–797. https://doi.org/10.1016/B978-0-12-385938-9.00045-6</w:t>
      </w:r>
    </w:p>
    <w:p w14:paraId="11E8F02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Frost, B.R., 1991. Introduction to oxygen fugacity and its petrologic importance. Rev. Mineral. Geochemistry 25, 1–9.</w:t>
      </w:r>
    </w:p>
    <w:p w14:paraId="3052AB31"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Michalski, J., Berger, G., McLennan, S.M., Scaillet, B., 2013. Geochemical reservoirs and timing of sulfur cycling on Mars. Space Sci. Rev. https://doi.org/10.1007/s11214-012-9947-4</w:t>
      </w:r>
    </w:p>
    <w:p w14:paraId="6E7E3D2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Scaillet, B., 2014. A theoretical framework for volcanic degassing chemistry in a comparative planetology perspective and implications for planetary atmospheres. Earth Planet. Sci. Lett. 403, 307–316. https://doi.org/10.1016/j.epsl.2014.07.009</w:t>
      </w:r>
    </w:p>
    <w:p w14:paraId="7BFD16D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Scaillet, B., 2009. The sulfur content of volcanic gases on Mars. Earth Planet. Sci. Lett. 279, 34–43. https://doi.org/10.1016/J.EPSL.2008.12.028</w:t>
      </w:r>
    </w:p>
    <w:p w14:paraId="3763663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Scaillet, B., Arndt, N.T., 2011. Atmospheric oxygenation caused by a change in volcanic degassing pressure. Nature 478, 229–232. https://doi.org/10.1038/nature10460</w:t>
      </w:r>
    </w:p>
    <w:p w14:paraId="7B5539E6"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Scaillet, B., Pichavant, M., Iacono-Marziano, G., 2015. The redox geodynamics linking basalts and their mantle sources through space and time. Chem. Geol. 418, 217–233. https://doi.org/10.1016/j.chemgeo.2015.07.030</w:t>
      </w:r>
    </w:p>
    <w:p w14:paraId="0F9B184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Gaillard, F., Schmidt, B., Mackwell, S., McCammon, C., 2003. Rate of hydrogen–iron redox exchange in silicate melts and glasses. Geochim. Cosmochim. Acta 67, 2427–2441. https://doi.org/10.1016/s0016-7037(02)01407-2</w:t>
      </w:r>
    </w:p>
    <w:p w14:paraId="4C00239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Ghiorso, M.S., Gualda, G.A.R., 2015. An H2O–CO2 mixed fluid saturation model compatible with rhyolite-MELTS. Contrib. to Mineral. Petrol. 169, 53. https://doi.org/10.1007/s00410-015-1141-8</w:t>
      </w:r>
    </w:p>
    <w:p w14:paraId="3C62BEC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Giggenbach, W.F., 1996. Chemical Composition of Volcanic Gases. Monit. Mitig. Volcano Hazards 221–256. https://doi.org/10.1007/978-3-642-80087-0_7</w:t>
      </w:r>
    </w:p>
    <w:p w14:paraId="333DF7D1"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lastRenderedPageBreak/>
        <w:t>Henley, R.W., Fischer, T.P., 2021. Sulfur sequestration and redox equilibria in volcanic gases. J. Volcanol. Geotherm. Res. 414, 107181. https://doi.org/10.1016/J.JVOLGEORES.2021.107181</w:t>
      </w:r>
    </w:p>
    <w:p w14:paraId="6B58DBB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Henley, R.W., Seward, T.M., 2018. Gas–Solid Reactions in Arc Volcanoes: Ancient and Modern. Rev. Mineral. Geochemistry 84, 309–349. https://doi.org/10.2138/RMG.2018.84.9</w:t>
      </w:r>
    </w:p>
    <w:p w14:paraId="4AF331E3"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Hirschmann, M.M., Withers, A.C., Ardia, P., Foley, N.T., 2012. Solubility of molecular hydrogen in silicate melts and consequences for volatile evolution of terrestrial planets. Earth Planet. Sci. Lett. 345–348, 38–48. https://doi.org/10.1016/J.EPSL.2012.06.031</w:t>
      </w:r>
    </w:p>
    <w:p w14:paraId="6ECDA2E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Holland, T., Powell, R., 1991. A Compensated-Redlich-Kwong (CORK) equation for volumes and fugacities of CO2 and H2O in the range 1 bar to 50 kbar and 100–1600°C. Contrib. to Mineral. Petrol. 1991 1092 109, 265–273. https://doi.org/10.1007/BF00306484</w:t>
      </w:r>
    </w:p>
    <w:p w14:paraId="61EFAF7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Holloway, J.R., 1977. Fugacity and Activity of Molecular Species in Supercritical Fluids, in: Thermodynamics in Geology. Springer Netherlands, Dordrecht, pp. 161–181. https://doi.org/10.1007/978-94-010-1252-2_9</w:t>
      </w:r>
    </w:p>
    <w:p w14:paraId="432C4F83"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Holloway, J.R., Blank, J.G., 1994. Application of experimental results to C-O-H species in natural melts. Rev. Mineral. Geochemistry1 30, 187–230.</w:t>
      </w:r>
    </w:p>
    <w:p w14:paraId="15F32D2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Hughes, E.C., Saper, L.M., Liggins, P., O’Neill, H.S.C., Stolper, E.M., 2023. The sulfur solubility minimum and maximum in silicate melt. J. Geol. Soc. London.</w:t>
      </w:r>
    </w:p>
    <w:p w14:paraId="2D1825D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Iacono-Marziano, G., Morizet, Y., Le Trong, E., Gaillard, F., 2012. New experimental data and semi-empirical parameterization of H2O–CO2 solubility in mafic melts. Geochim. Cosmochim. Acta 97, 1–23. https://doi.org/10.1016/J.GCA.2012.08.035</w:t>
      </w:r>
    </w:p>
    <w:p w14:paraId="12702F1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Jendrzejewski, N., Trull, T.W., Pineau, F., Javoy, M., 1997. Carbon solubility in Mid-Ocean Ridge basaltic melt at low pressures (250–1950 bar). Chem. Geol. 138, 81–92. https://doi.org/10.1016/S0009-2541(96)00176-3</w:t>
      </w:r>
    </w:p>
    <w:p w14:paraId="74CBC04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Jugo, P.J., Luth, R.W., Richards, J.P., 2005. Experimental data on the speciation of sulfur as a function of oxygen fugacity in basaltic melts. Geochim. Cosmochim. Acta 69, 497–503.</w:t>
      </w:r>
    </w:p>
    <w:p w14:paraId="479D2B3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Jugo, P.J., Wilke, M., Botcharnikov, R.E., 2010. Sulfur K-edge XANES analysis of natural and synthetic basaltic glasses: Implications for S speciation and S content as function of oxygen fugacity. Geochim. Cosmochim. Acta 74, 5926–5938. https://doi.org/10.1016/J.GCA.2010.07.022</w:t>
      </w:r>
    </w:p>
    <w:p w14:paraId="7390479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Kadik, A., Pineau, F., Litvin, Y., Jendrzejewski, N., Martinez, I., Javoy, M., 2004. Formation of Carbon and Hydrogen Species in Magmas at Low Oxygen Fugacity. J. Petrol. 45, 1297–1310. https://doi.org/10.1093/PETROLOGY/EGH007</w:t>
      </w:r>
    </w:p>
    <w:p w14:paraId="0116EE1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King, P.L., Holloway, J.R., 2002. CO2 solubility and speciation in intermediate (andesitic) melts: the role of H2O and composition. Geochim. Cosmochim. Acta 66, 1627–1640. https://doi.org/10.1016/S0016-7037(01)00872-9</w:t>
      </w:r>
    </w:p>
    <w:p w14:paraId="67B946A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Konschak, A., Keppler, H., 2014. The speciation of carbon dioxide in silicate melts. Contrib. to Mineral. Petrol. 167, 1–13. https://doi.org/10.1007/S00410-014-0998-2/FIGURES/14</w:t>
      </w:r>
    </w:p>
    <w:p w14:paraId="49D8E530"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Kress, V.C., Carmichael, I.S.E., 1991. The compressibility of silicate liquids containing Fe2O3 and the effect of composition, temperature, oxygen fugacity and pressure on their redox states. Contrib. to Mineral. Petrol. 108, 82–92. https://doi.org/10.1007/BF00307328</w:t>
      </w:r>
    </w:p>
    <w:p w14:paraId="20DD4A4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Kress, V.C., Ghiorso, M.S., Lastuka, C., 2004. Microsoft EXCEL spreadsheet-based program for calculating equilibrium gas speciation in the C–O–H–S–Cl–F system. Comput. Geosci. 30, 211–214. https://doi.org/10.1016/J.CAGEO.2003.10.006</w:t>
      </w:r>
    </w:p>
    <w:p w14:paraId="6477C94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 xml:space="preserve">Le Voyer, M., Cottrell, E., Kelley, K.A., Brounce, M.N., Hauri, E.H., 2015. The effect of </w:t>
      </w:r>
      <w:r w:rsidRPr="00D66D9A">
        <w:rPr>
          <w:rFonts w:ascii="Times New Roman" w:hAnsi="Times New Roman" w:cs="Times New Roman"/>
          <w:noProof/>
        </w:rPr>
        <w:lastRenderedPageBreak/>
        <w:t>primary versus secondary processes on the volatile content of MORB glasses: An example from the equatorial Mid-Atlantic Ridge (5°N–3°S). J. Geophys. Res. Solid Earth 120, 125–144. https://doi.org/10.1002/2014JB011160</w:t>
      </w:r>
    </w:p>
    <w:p w14:paraId="6271A52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Lerner, A.H., 2020. The depths and locations of magma reservoirs and their consequences for the behavior of sulfur and volcanic degassing. University of Oregon.</w:t>
      </w:r>
    </w:p>
    <w:p w14:paraId="3CDA76E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Lesne, P., Scaillet, B., Pichavant, M., 2015. The solubility of sulfur in hydrous basaltic melts. Chem. Geol. 418, 104–116. https://doi.org/10.1016/J.CHEMGEO.2015.03.025</w:t>
      </w:r>
    </w:p>
    <w:p w14:paraId="241067A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Lesne, P., Scaillet, B., Pichavant, M., Iacono-Marziano, G., Beny, J.M., 2011. The H2O solubility of alkali basaltic melts: An experimental study. Contrib. to Mineral. Petrol. 162, 133–151. https://doi.org/10.1007/S00410-010-0588-X/FIGURES/12</w:t>
      </w:r>
    </w:p>
    <w:p w14:paraId="2465C63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Lo, M., La Spina, G., Joy, K.H., Polacci, M., Burton, M., 2021. Determining the Effect of Varying Magmatic Volatile Content on Lunar Magma Ascent Dynamics. J. Geophys. Res. Planets 126, e2021JE006939. https://doi.org/10.1029/2021JE006939</w:t>
      </w:r>
    </w:p>
    <w:p w14:paraId="6F72F80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Matthews, S.J., Moncrieff, D.H.S., Carroll, M.R., 1999. Empirical Calibration of the Sulphur Valence Oxygen Barometer from Natural and Experimental Glasses: Method and Applications. Mineral. Mag. 63, 421–431. https://doi.org/10.1180/002646199548510</w:t>
      </w:r>
    </w:p>
    <w:p w14:paraId="28A358D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Métrich, N., Berry, A.J., O’Neill, H.S.C., Susini, J., 2009. The oxidation state of sulfur in synthetic and natural glasses determined by X-ray absorption spectroscopy. Geochim. Cosmochim. Acta 73, 2382–2399. https://doi.org/10.1016/J.GCA.2009.01.025</w:t>
      </w:r>
    </w:p>
    <w:p w14:paraId="1D94715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Moore, G., Vennemann, T., Carmichael, I.S.E., 1998. An empirical model for the solubility of H 2 O in magmas to 3 kilobars. Am. Mineral. 83, 36–42. https://doi.org/10.2138/AM-1998-1-203</w:t>
      </w:r>
    </w:p>
    <w:p w14:paraId="62CD281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Moretti, R., 2021. Ionic Syntax and Equilibrium Approach to Redox Exchanges in Melts: Basic Concepts and the Case of Iron and Sulfur in Degassing Magmas, in: Moretti, R., Neuville, D.R. (Eds.), Magma Redox Geochemistry, Geophysical Monograph Series. American Geophysical Union (AGU), pp. 115–138. https://doi.org/10.1002/9781119473206.CH6</w:t>
      </w:r>
    </w:p>
    <w:p w14:paraId="7388D6F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Moretti, R., Ottonello, G., 2005. Solubility and speciation of sulfur in silicate melts: The Conjugated Toop-Samis-Flood-Grjotheim (CTSFG) model. Geochim. Cosmochim. Acta 69, 801–823. https://doi.org/10.1016/J.GCA.2004.09.006</w:t>
      </w:r>
    </w:p>
    <w:p w14:paraId="63ACD52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Moretti, R., Ottonello, G., 2003. Polymerization and disproportionation of iron and sulfur in silicate melts: Insights from an optical basicity-based approach, in: Journal of Non-Crystalline Solids. North-Holland, pp. 111–119. https://doi.org/10.1016/S0022-3093(03)00297-7</w:t>
      </w:r>
    </w:p>
    <w:p w14:paraId="7879C47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Moretti, R., Papale, P., 2004. On the oxidation state and volatile behavior in multicomponent gas-melt equilibria. Chem. Geol. 213, 265–280. https://doi.org/10.1016/j.chemgeo.2004.08.048</w:t>
      </w:r>
    </w:p>
    <w:p w14:paraId="72738CE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Moretti, R., Papale, P., Ottonello, G., 2003. A model for the saturation of C-O-H-S fluids in silicate melts. Geol. Soc. London, Spec. Publ. 213, 81–101. https://doi.org/10.1144/GSL.SP.2003.213.01.06</w:t>
      </w:r>
    </w:p>
    <w:p w14:paraId="55F2762E"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Moune, S., Holtz, F., Botcharnikov, R.E., 2009. Sulphur solubility in andesitic to basaltic melts: implications for Hekla volcano. Contrib. to Mineral. Petrol. 157, 691–707. https://doi.org/10.1007/s00410-008-0359-0</w:t>
      </w:r>
    </w:p>
    <w:p w14:paraId="51AC95F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Moussallam, Y., Oppenheimer, C., Scaillet, B., 2019. On the relationship between oxidation state and temperature of volcanic gas emissions. Earth Planet. Sci. Lett. 520, 260–267. https://doi.org/10.1016/J.EPSL.2019.05.036</w:t>
      </w:r>
    </w:p>
    <w:p w14:paraId="6501AA46"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 xml:space="preserve">Mysen, B., 2013. Structure–property relationships of COHN-saturated silicate melt coexisting with COHN fluid: A review of in-situ, high-temperature, high-pressure </w:t>
      </w:r>
      <w:r w:rsidRPr="00D66D9A">
        <w:rPr>
          <w:rFonts w:ascii="Times New Roman" w:hAnsi="Times New Roman" w:cs="Times New Roman"/>
          <w:noProof/>
        </w:rPr>
        <w:lastRenderedPageBreak/>
        <w:t>experiments. Chem. Geol. 346, 113–124. https://doi.org/10.1016/J.CHEMGEO.2012.10.006</w:t>
      </w:r>
    </w:p>
    <w:p w14:paraId="0BEE2A3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Mysen, B.O., Kumamoto, K., Cody, G.D., Fogel, M.L., 2011. Solubility and solution mechanisms of C–O–H volatiles in silicate melt with variable redox conditions and melt composition at upper mantle temperatures and pressures. Geochim. Cosmochim. Acta 75, 6183–6199. https://doi.org/10.1016/J.GCA.2011.07.035</w:t>
      </w:r>
    </w:p>
    <w:p w14:paraId="4AD5E083"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Nash, W.M., Smythe, D.J., Wood, B.J., 2019. Compositional and temperature effects on sulfur speciation and solubility in silicate melts. Earth Planet. Sci. Lett. 507, 187–198. https://doi.org/10.1016/J.EPSL.2018.12.006</w:t>
      </w:r>
    </w:p>
    <w:p w14:paraId="0A12D05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Newman, S., Lowenstern, J.B., 2002. VolatileCalc: a silicate melt–H2O–CO2 solution model written in Visual Basic for excel. Comput. Geosci. 28, 597–604. https://doi.org/10.1016/S0098-3004(01)00081-4</w:t>
      </w:r>
    </w:p>
    <w:p w14:paraId="0ECF6FC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O’Neill, H.S.C., 2021. The thermodynamic controls on sulfide saturation in silicate melts with application to Ocean Floor Basalts., in: Moretti, R., Neuville, D.R. (Eds.), Magma Redox Geochemistry, Geophysical Monograph Series. John Wiley &amp; Sons, Inc., pp. 177–213. https://doi.org/10.1002/9781119473206.ch10</w:t>
      </w:r>
    </w:p>
    <w:p w14:paraId="46FFD46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O’Neill, H.S.C., Mavrogenes, J.A., 2022. The sulfate capacities of silicate melts. Geochim. Cosmochim. Acta. https://doi.org/10.1016/J.GCA.2022.06.020</w:t>
      </w:r>
    </w:p>
    <w:p w14:paraId="5F8516BD"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O’Neill, H.S.C., Mavrogenes, J.A., 2002. The sulfide capacity and the sulfur content at sulfide saturation of silicate melts at 1400°C and 1 bar. J. Petrol. 43, 1049–1087. https://doi.org/10.1093/petrology/43.6.1049</w:t>
      </w:r>
    </w:p>
    <w:p w14:paraId="0FC632E5"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Ohmoto, H., Kerrick, D.M., 1977. Devolatilization equilibria in graphitic systems. Am. J. Sci. 277, 1013–1044. https://doi.org/10.2475/AJS.277.8.1013</w:t>
      </w:r>
    </w:p>
    <w:p w14:paraId="419B33B0"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Pan, V., Holloway, J.R., Hervig, R.L., 1991. The pressure and temperature dependence of carbon dioxide solubility in tholeiitic basalt melts. Geochim. Cosmochim. Acta 55, 1587–1595. https://doi.org/10.1016/0016-7037(91)90130-W</w:t>
      </w:r>
    </w:p>
    <w:p w14:paraId="7A1ABF20"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Papale, P., Moretti, R., Barbato, D., 2006. The compositional dependence of the saturation surface of H2O+CO2 fluids in silicate melts. Chem. Geol. 229, 78–95. https://doi.org/10.1016/j.chemgeo.2006.01.013</w:t>
      </w:r>
    </w:p>
    <w:p w14:paraId="6F2326C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Paris, E., Giuli, G., Carroll, M.R., Davoli, I., 2001. The valence and speciation of sulfur in glasses by X-ray absorption spectroscopy. Can. Mineral. 39, 331–339. https://doi.org/10.2113/gscanmin.39.2.331</w:t>
      </w:r>
    </w:p>
    <w:p w14:paraId="3294BA8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Scaillet, B., Pichavant, M., 2004. Role of fO2 on fluid saturation in oceanic basalt. Nat. 2004 4306999 430, 1–1. https://doi.org/10.1038/nature02814</w:t>
      </w:r>
    </w:p>
    <w:p w14:paraId="0EC4931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Shaw, H.R., Wones, D.R., 1964. Fugacity coefficients for hydrogen gas between 0 degrees and 1000 degrees C, for pressures to 3000 atm. Am. J. Sci. 262, 918–929. https://doi.org/10.2475/AJS.262.7.918</w:t>
      </w:r>
    </w:p>
    <w:p w14:paraId="264C1FE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Shi, P., Saxena, S.K., 1992. Thermodynamic modeing of the C-H-O-S fluid system. Am. Mineral. 77, 1038–1049.</w:t>
      </w:r>
    </w:p>
    <w:p w14:paraId="51713B2F"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Shishkina, T.A., Botcharnikov, R.E., Holtz, F., Almeev, R.R., Jazwa, A.M., Jakubiak, A.A., 2014. Compositional and pressure effects on the solubility of H2O and CO2 in mafic melts. Chem. Geol. 388, 112–129. https://doi.org/10.1016/J.CHEMGEO.2014.09.001</w:t>
      </w:r>
    </w:p>
    <w:p w14:paraId="7FF8587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Shishkina, T.A., Botcharnikov, R.E., Holtz, F., Almeev, R.R., Portnyagin, M.V., 2010. Solubility of H2O- and CO2-bearing fluids in tholeiitic basalts at pressures up to 500 MPa. Chem. Geol. 277, 115–125. https://doi.org/10.1016/J.CHEMGEO.2010.07.014</w:t>
      </w:r>
    </w:p>
    <w:p w14:paraId="756761CA"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Silver, L.A., Stolper, E.M., 1989. Water in albitic glasses. J. Petrol. 30, 667–709. https://doi.org/10.1093/petrology/30.3.667</w:t>
      </w:r>
    </w:p>
    <w:p w14:paraId="1A1F6D02"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lastRenderedPageBreak/>
        <w:t>Stanley, B.D., Hirschmann, M.M., Withers, A.C., 2014. Solubility of COH volatiles in graphite-saturated martian basalts. Geochim. Cosmochim. Acta 129, 54–76. https://doi.org/10.1016/j.gca.2013.12.013</w:t>
      </w:r>
    </w:p>
    <w:p w14:paraId="42A5AB7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Stolper, E.M., 1982a. Water in silicate glasses: An infrared spectroscopic study. Contrib. to Mineral. Petrol. 1982 811 81, 1–17. https://doi.org/10.1007/BF00371154</w:t>
      </w:r>
    </w:p>
    <w:p w14:paraId="68B09201"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Stolper, E.M., 1982b. The speciation of water in silicate melts. Geochim. Cosmochim. Acta 46, 2609–2620.</w:t>
      </w:r>
    </w:p>
    <w:p w14:paraId="58DE2806"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Stolper, E.M., Holloway, J.R., 1988. Experimental determination of the solubility of carbon dioxide in molten basalt at low pressure. Earth Planet. Sci. Lett. 87, 397–408. https://doi.org/10.1016/0012-821X(88)90004-0</w:t>
      </w:r>
    </w:p>
    <w:p w14:paraId="5DB24B1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Thibault, Y., Holloway, J.R., 1994. Solubility of CO2 in a Ca-rich leucitite: effects of pressure, temperature, and oxygen fugacity. Contrib. to Mineral. Petrol. 116, 216–224. https://doi.org/10.1007/BF00310701/METRICS</w:t>
      </w:r>
    </w:p>
    <w:p w14:paraId="1BF79430"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Vetere, F., Holtz, F., Behrens, H., Botcharnikov, R.E., Fanara, S., 2014. The effect of alkalis and polymerization on the solubility of H2O and CO2 in alkali-rich silicate melts. Contrib. to Mineral. Petrol. 167, 1014. https://doi.org/10.1007/s00410-014-1014-6</w:t>
      </w:r>
    </w:p>
    <w:p w14:paraId="03FCBF52"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Wagner, C., 1975. The concept of the basicity of slags. Metall. Trans. B 1975 63 6, 405–409. https://doi.org/10.1007/BF02913825</w:t>
      </w:r>
    </w:p>
    <w:p w14:paraId="1244640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Wallace, P.J., 2005. Volatiles in subduction zone magmas: concentrations and fluxes based on melt inclusion and volcanic gas data. J. Volcanol. Geotherm. Res. 140, 217–240. https://doi.org/10.1016/j.jvolgeores.2004.07.023</w:t>
      </w:r>
    </w:p>
    <w:p w14:paraId="64BD9BE8"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Wallace, P.J., Carmichael, I.S.E., 1994. S speciation in submarine basaltic glasses as determined by measurements of SKa X-ray wavelength shifts. Am. Mineral. 79, 161–167.</w:t>
      </w:r>
    </w:p>
    <w:p w14:paraId="591304C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Wallace, P.J., Carmichael, I.S.E., 1992. Sulfur in basaltic magmas. Geochim. Cosmochim. Acta 56, 1863–1874. https://doi.org/10.1016/0016-7037(92)90316-B</w:t>
      </w:r>
    </w:p>
    <w:p w14:paraId="49ABE711"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Webster, J.D., Botcharnikov, R.E., 2011. Distribution of Sulfur Between Melt and Fluid in S-O-H-C-Cl-Bearing Magmatic Systems at Shallow Crustal Pressures and Temperatures. Rev. Mineral. Geochemistry 73, 247–283. https://doi.org/10.2138/rmg.2011.73.9</w:t>
      </w:r>
    </w:p>
    <w:p w14:paraId="62CC52A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Webster, J.D., Goldoff, B., Shimizu, N., 2011. C-O-H-S fluids and granitic magma: How S partitions and modifies CO2 concentrations of fluid-saturated felsic melt at 200 MPa. Contrib. to Mineral. Petrol. 162, 849–865. https://doi.org/10.1007/S00410-011-0628-1/FIGURES/8</w:t>
      </w:r>
    </w:p>
    <w:p w14:paraId="538C154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Webster, J.D., Sintoni, M.F., De Vivo, B., 2009. The partitioning behavior of Cl, S, and H2O in aqueous vapor- ± saline-liquid saturated phonolitic and trachytic melts at 200 MPa. Chem. Geol. 263, 19–36. https://doi.org/10.1016/J.CHEMGEO.2008.10.017</w:t>
      </w:r>
    </w:p>
    <w:p w14:paraId="4019369C"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Wetzel, D.T., Rutherford, M.J., Jacobsen, S.D., Hauri, E.H., Saal, A.E., 2013. Degassing of reduced carbon from planetary basalts. Proc. Natl. Acad. Sci. 110, 8010–8013. https://doi.org/10.1073/PNAS.1219266110</w:t>
      </w:r>
    </w:p>
    <w:p w14:paraId="2250D524"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Wieser, P.E., Iacovino, K., Matthews, S., Moore, G., Allison, C.M., 2022. VESIcal: 2. A Critical Approach to Volatile Solubility Modeling Using an Open-Source Python3 Engine. Earth Sp. Sci. 9, e2021EA001932. https://doi.org/10.1029/2021EA001932</w:t>
      </w:r>
    </w:p>
    <w:p w14:paraId="120D9116"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Wilke, M., Jugo, P.J., Klimm, K., Susini, J., Botcharnikov, R.E., Kohn, S.C., Janousch, M., 2008. The origin of S4+ detected in silicate glasses by XANES. Am. Mineral. 93. https://doi.org/https://doi.org/10.2138/am.2008.2765</w:t>
      </w:r>
    </w:p>
    <w:p w14:paraId="2D83A5A7"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Wilke, M., Klimm, K., Kohn, S.C., 2011. Spectroscopic studies on sulfur speciation in synthetic and natural glasses. Rev. Mineral. Geochemistry 73, 41–78. https://doi.org/10.2138/rmg.2011.73.3</w:t>
      </w:r>
    </w:p>
    <w:p w14:paraId="2E76B509"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lastRenderedPageBreak/>
        <w:t>Yoshioka, T., Nakashima, D., Nakamura, T., Shcheka, S., Keppler, H., 2019. Carbon solubility in silicate melts in equilibrium with a CO-CO2 gas phase and graphite. Geochim. Cosmochim. Acta 259, 129–143. https://doi.org/10.1016/J.GCA.2019.06.007</w:t>
      </w:r>
    </w:p>
    <w:p w14:paraId="1B0BEB0B" w14:textId="77777777" w:rsidR="00D66D9A" w:rsidRPr="00D66D9A" w:rsidRDefault="00D66D9A" w:rsidP="00D66D9A">
      <w:pPr>
        <w:widowControl w:val="0"/>
        <w:autoSpaceDE w:val="0"/>
        <w:autoSpaceDN w:val="0"/>
        <w:adjustRightInd w:val="0"/>
        <w:ind w:left="480" w:hanging="480"/>
        <w:rPr>
          <w:rFonts w:ascii="Times New Roman" w:hAnsi="Times New Roman" w:cs="Times New Roman"/>
          <w:noProof/>
        </w:rPr>
      </w:pPr>
      <w:r w:rsidRPr="00D66D9A">
        <w:rPr>
          <w:rFonts w:ascii="Times New Roman" w:hAnsi="Times New Roman" w:cs="Times New Roman"/>
          <w:noProof/>
        </w:rPr>
        <w:t>Zajacz, Z., Tsay, A., 2019. An accurate model to predict sulfur concentration at anhydrite saturation in silicate melts. Geochim. Cosmochim. Acta 261, 288–304. https://doi.org/10.1016/J.GCA.2019.07.007</w:t>
      </w:r>
    </w:p>
    <w:p w14:paraId="6955C7B0" w14:textId="3344D77E" w:rsidR="00372AD9" w:rsidRPr="008C4D3C" w:rsidRDefault="008C4D3C" w:rsidP="00D66D9A">
      <w:pPr>
        <w:widowControl w:val="0"/>
        <w:autoSpaceDE w:val="0"/>
        <w:autoSpaceDN w:val="0"/>
        <w:adjustRightInd w:val="0"/>
        <w:ind w:left="480" w:hanging="480"/>
        <w:rPr>
          <w:rFonts w:ascii="Times New Roman" w:hAnsi="Times New Roman" w:cs="Times New Roman"/>
        </w:rPr>
      </w:pPr>
      <w:r w:rsidRPr="008C4D3C">
        <w:rPr>
          <w:rFonts w:ascii="Times New Roman" w:hAnsi="Times New Roman" w:cs="Times New Roman"/>
        </w:rPr>
        <w:fldChar w:fldCharType="end"/>
      </w:r>
    </w:p>
    <w:sectPr w:rsidR="00372AD9" w:rsidRPr="008C4D3C">
      <w:headerReference w:type="default" r:id="rId33"/>
      <w:footerReference w:type="even" r:id="rId34"/>
      <w:footerReference w:type="default" r:id="rId3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20589" w14:textId="77777777" w:rsidR="00063B50" w:rsidRDefault="00063B50" w:rsidP="00012DC9">
      <w:r>
        <w:separator/>
      </w:r>
    </w:p>
  </w:endnote>
  <w:endnote w:type="continuationSeparator" w:id="0">
    <w:p w14:paraId="57B9D258" w14:textId="77777777" w:rsidR="00063B50" w:rsidRDefault="00063B50" w:rsidP="00012D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0340693"/>
      <w:docPartObj>
        <w:docPartGallery w:val="Page Numbers (Bottom of Page)"/>
        <w:docPartUnique/>
      </w:docPartObj>
    </w:sdtPr>
    <w:sdtEndPr>
      <w:rPr>
        <w:rStyle w:val="PageNumber"/>
      </w:rPr>
    </w:sdtEndPr>
    <w:sdtContent>
      <w:p w14:paraId="744FD6DC" w14:textId="3C896CA1" w:rsidR="00012DC9" w:rsidRDefault="00012DC9" w:rsidP="00D4012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5934EA" w14:textId="77777777" w:rsidR="00012DC9" w:rsidRDefault="00012DC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4047420"/>
      <w:docPartObj>
        <w:docPartGallery w:val="Page Numbers (Bottom of Page)"/>
        <w:docPartUnique/>
      </w:docPartObj>
    </w:sdtPr>
    <w:sdtEndPr>
      <w:rPr>
        <w:rStyle w:val="PageNumber"/>
      </w:rPr>
    </w:sdtEndPr>
    <w:sdtContent>
      <w:p w14:paraId="490B0FC7" w14:textId="5BAFB407" w:rsidR="00012DC9" w:rsidRDefault="00012DC9" w:rsidP="00D4012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ABB9334" w14:textId="77777777" w:rsidR="00012DC9" w:rsidRDefault="00012DC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E898D8" w14:textId="77777777" w:rsidR="00063B50" w:rsidRDefault="00063B50" w:rsidP="00012DC9">
      <w:r>
        <w:separator/>
      </w:r>
    </w:p>
  </w:footnote>
  <w:footnote w:type="continuationSeparator" w:id="0">
    <w:p w14:paraId="4AD00254" w14:textId="77777777" w:rsidR="00063B50" w:rsidRDefault="00063B50" w:rsidP="00012D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D8571" w14:textId="7DE4D886" w:rsidR="00012DC9" w:rsidRDefault="00012DC9" w:rsidP="0022237F">
    <w:pPr>
      <w:pStyle w:val="Header"/>
      <w:spacing w:after="0"/>
      <w:rPr>
        <w:i/>
        <w:iCs/>
      </w:rPr>
    </w:pPr>
    <w:r>
      <w:t xml:space="preserve">Supplementary Material for “The effects of </w:t>
    </w:r>
    <w:r w:rsidRPr="00147AF9">
      <w:rPr>
        <w:i/>
        <w:iCs/>
      </w:rPr>
      <w:t>f</w:t>
    </w:r>
    <w:r w:rsidRPr="00147AF9">
      <w:rPr>
        <w:vertAlign w:val="subscript"/>
      </w:rPr>
      <w:t>O2</w:t>
    </w:r>
    <w:r>
      <w:t xml:space="preserve"> and </w:t>
    </w:r>
    <w:proofErr w:type="spellStart"/>
    <w:r>
      <w:t>S on</w:t>
    </w:r>
    <w:proofErr w:type="spellEnd"/>
    <w:r>
      <w:t xml:space="preserve"> </w:t>
    </w:r>
    <w:proofErr w:type="spellStart"/>
    <w:r w:rsidRPr="00147AF9">
      <w:rPr>
        <w:i/>
        <w:iCs/>
      </w:rPr>
      <w:t>P</w:t>
    </w:r>
    <w:r w:rsidRPr="00147AF9">
      <w:rPr>
        <w:i/>
        <w:iCs/>
        <w:vertAlign w:val="superscript"/>
      </w:rPr>
      <w:t>v</w:t>
    </w:r>
    <w:r w:rsidRPr="00147AF9">
      <w:rPr>
        <w:vertAlign w:val="subscript"/>
      </w:rPr>
      <w:t>sat</w:t>
    </w:r>
    <w:proofErr w:type="spellEnd"/>
    <w:r>
      <w:t xml:space="preserve">” by Hughes </w:t>
    </w:r>
    <w:r w:rsidRPr="00147AF9">
      <w:rPr>
        <w:i/>
        <w:iCs/>
      </w:rPr>
      <w:t>et al.</w:t>
    </w:r>
  </w:p>
  <w:p w14:paraId="79B2076B" w14:textId="5BE47B71" w:rsidR="00012DC9" w:rsidRDefault="0022237F">
    <w:pPr>
      <w:pStyle w:val="Header"/>
      <w:rPr>
        <w:i/>
        <w:iCs/>
      </w:rPr>
    </w:pPr>
    <w:r>
      <w:rPr>
        <w:i/>
        <w:iCs/>
      </w:rPr>
      <w:t>American Mineralogist: March 2024 Online Materials AM-24-38739</w:t>
    </w:r>
  </w:p>
  <w:p w14:paraId="676079D6" w14:textId="77777777" w:rsidR="0022237F" w:rsidRDefault="0022237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5A6C28"/>
    <w:multiLevelType w:val="multilevel"/>
    <w:tmpl w:val="1DA6B0EA"/>
    <w:lvl w:ilvl="0">
      <w:start w:val="7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01160AF"/>
    <w:multiLevelType w:val="hybridMultilevel"/>
    <w:tmpl w:val="B5CC0B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15F6945"/>
    <w:multiLevelType w:val="multilevel"/>
    <w:tmpl w:val="7CB6EA32"/>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3" w15:restartNumberingAfterBreak="0">
    <w:nsid w:val="2BED510B"/>
    <w:multiLevelType w:val="hybridMultilevel"/>
    <w:tmpl w:val="F774E61A"/>
    <w:lvl w:ilvl="0" w:tplc="2F82DE62">
      <w:start w:val="1"/>
      <w:numFmt w:val="decimal"/>
      <w:lvlText w:val="%1."/>
      <w:lvlJc w:val="left"/>
      <w:pPr>
        <w:ind w:left="720" w:hanging="360"/>
      </w:pPr>
      <w:rPr>
        <w:rFonts w:cs="Times New Roman" w:hint="default"/>
        <w:color w:val="000000" w:themeColor="text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0095BB1"/>
    <w:multiLevelType w:val="multilevel"/>
    <w:tmpl w:val="08090025"/>
    <w:lvl w:ilvl="0">
      <w:start w:val="1"/>
      <w:numFmt w:val="decimal"/>
      <w:lvlText w:val="%1"/>
      <w:lvlJc w:val="left"/>
      <w:pPr>
        <w:ind w:left="432" w:hanging="432"/>
      </w:pPr>
    </w:lvl>
    <w:lvl w:ilvl="1">
      <w:start w:val="1"/>
      <w:numFmt w:val="decimal"/>
      <w:lvlText w:val="%1.%2"/>
      <w:lvlJc w:val="left"/>
      <w:pPr>
        <w:ind w:left="2419"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40D7388E"/>
    <w:multiLevelType w:val="multilevel"/>
    <w:tmpl w:val="CC38F7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1BA330C"/>
    <w:multiLevelType w:val="hybridMultilevel"/>
    <w:tmpl w:val="0AF4B4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4E3D44E7"/>
    <w:multiLevelType w:val="hybridMultilevel"/>
    <w:tmpl w:val="E308329C"/>
    <w:lvl w:ilvl="0" w:tplc="12104E5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F912EFD"/>
    <w:multiLevelType w:val="hybridMultilevel"/>
    <w:tmpl w:val="A5AAE706"/>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51097C0D"/>
    <w:multiLevelType w:val="hybridMultilevel"/>
    <w:tmpl w:val="50785A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6642E6"/>
    <w:multiLevelType w:val="hybridMultilevel"/>
    <w:tmpl w:val="8910AE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52331DA"/>
    <w:multiLevelType w:val="multilevel"/>
    <w:tmpl w:val="0809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666C0AA3"/>
    <w:multiLevelType w:val="hybridMultilevel"/>
    <w:tmpl w:val="940AA8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6C26CDA"/>
    <w:multiLevelType w:val="hybridMultilevel"/>
    <w:tmpl w:val="4D3439F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6981515F"/>
    <w:multiLevelType w:val="hybridMultilevel"/>
    <w:tmpl w:val="CCD835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EBC62AC"/>
    <w:multiLevelType w:val="hybridMultilevel"/>
    <w:tmpl w:val="48D0E2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01B7A0D"/>
    <w:multiLevelType w:val="hybridMultilevel"/>
    <w:tmpl w:val="34D66DA0"/>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7" w15:restartNumberingAfterBreak="0">
    <w:nsid w:val="75F75E02"/>
    <w:multiLevelType w:val="hybridMultilevel"/>
    <w:tmpl w:val="A27ACE00"/>
    <w:lvl w:ilvl="0" w:tplc="6038BEA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7BCD30DE"/>
    <w:multiLevelType w:val="hybridMultilevel"/>
    <w:tmpl w:val="402893B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7C870957"/>
    <w:multiLevelType w:val="hybridMultilevel"/>
    <w:tmpl w:val="E7C88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4"/>
  </w:num>
  <w:num w:numId="4">
    <w:abstractNumId w:val="16"/>
  </w:num>
  <w:num w:numId="5">
    <w:abstractNumId w:val="17"/>
  </w:num>
  <w:num w:numId="6">
    <w:abstractNumId w:val="19"/>
  </w:num>
  <w:num w:numId="7">
    <w:abstractNumId w:val="10"/>
  </w:num>
  <w:num w:numId="8">
    <w:abstractNumId w:val="1"/>
  </w:num>
  <w:num w:numId="9">
    <w:abstractNumId w:val="3"/>
  </w:num>
  <w:num w:numId="10">
    <w:abstractNumId w:val="9"/>
  </w:num>
  <w:num w:numId="11">
    <w:abstractNumId w:val="18"/>
  </w:num>
  <w:num w:numId="12">
    <w:abstractNumId w:val="0"/>
  </w:num>
  <w:num w:numId="13">
    <w:abstractNumId w:val="8"/>
  </w:num>
  <w:num w:numId="14">
    <w:abstractNumId w:val="7"/>
  </w:num>
  <w:num w:numId="15">
    <w:abstractNumId w:val="5"/>
  </w:num>
  <w:num w:numId="16">
    <w:abstractNumId w:val="15"/>
  </w:num>
  <w:num w:numId="17">
    <w:abstractNumId w:val="11"/>
  </w:num>
  <w:num w:numId="18">
    <w:abstractNumId w:val="13"/>
  </w:num>
  <w:num w:numId="19">
    <w:abstractNumId w:val="12"/>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2AD9"/>
    <w:rsid w:val="00000255"/>
    <w:rsid w:val="00000713"/>
    <w:rsid w:val="00000B4A"/>
    <w:rsid w:val="000129E6"/>
    <w:rsid w:val="00012DC9"/>
    <w:rsid w:val="00014C46"/>
    <w:rsid w:val="00020055"/>
    <w:rsid w:val="00021ACC"/>
    <w:rsid w:val="00025126"/>
    <w:rsid w:val="00034877"/>
    <w:rsid w:val="0004021A"/>
    <w:rsid w:val="00063B50"/>
    <w:rsid w:val="0006724B"/>
    <w:rsid w:val="00071A82"/>
    <w:rsid w:val="00072D7A"/>
    <w:rsid w:val="0007365C"/>
    <w:rsid w:val="00087E0D"/>
    <w:rsid w:val="00095A1C"/>
    <w:rsid w:val="000A3874"/>
    <w:rsid w:val="000A3D09"/>
    <w:rsid w:val="000B2742"/>
    <w:rsid w:val="000C0E42"/>
    <w:rsid w:val="000C56F2"/>
    <w:rsid w:val="000D5520"/>
    <w:rsid w:val="000E0AC9"/>
    <w:rsid w:val="000E74D8"/>
    <w:rsid w:val="000F0BD4"/>
    <w:rsid w:val="000F4886"/>
    <w:rsid w:val="001054A1"/>
    <w:rsid w:val="00112662"/>
    <w:rsid w:val="00115BE3"/>
    <w:rsid w:val="00116D3A"/>
    <w:rsid w:val="001270E8"/>
    <w:rsid w:val="0013038B"/>
    <w:rsid w:val="001378E6"/>
    <w:rsid w:val="00144A27"/>
    <w:rsid w:val="001465A9"/>
    <w:rsid w:val="00147AF9"/>
    <w:rsid w:val="00150BDA"/>
    <w:rsid w:val="001827DE"/>
    <w:rsid w:val="00183CAA"/>
    <w:rsid w:val="00187EFD"/>
    <w:rsid w:val="001930D3"/>
    <w:rsid w:val="001B6D59"/>
    <w:rsid w:val="001B75D8"/>
    <w:rsid w:val="001C4A06"/>
    <w:rsid w:val="001C528D"/>
    <w:rsid w:val="001D2176"/>
    <w:rsid w:val="001D3F66"/>
    <w:rsid w:val="001D4254"/>
    <w:rsid w:val="001D7200"/>
    <w:rsid w:val="001E4E2F"/>
    <w:rsid w:val="002059BA"/>
    <w:rsid w:val="00213621"/>
    <w:rsid w:val="002145CF"/>
    <w:rsid w:val="0022237F"/>
    <w:rsid w:val="00225C80"/>
    <w:rsid w:val="002358AE"/>
    <w:rsid w:val="00246D98"/>
    <w:rsid w:val="00247D65"/>
    <w:rsid w:val="00257335"/>
    <w:rsid w:val="00267421"/>
    <w:rsid w:val="0028588E"/>
    <w:rsid w:val="00286E42"/>
    <w:rsid w:val="002A3F34"/>
    <w:rsid w:val="002A5ACE"/>
    <w:rsid w:val="002B13DE"/>
    <w:rsid w:val="002C4604"/>
    <w:rsid w:val="002C7DC0"/>
    <w:rsid w:val="002E3A07"/>
    <w:rsid w:val="002F1145"/>
    <w:rsid w:val="00301029"/>
    <w:rsid w:val="003034D1"/>
    <w:rsid w:val="00305E38"/>
    <w:rsid w:val="00311C9F"/>
    <w:rsid w:val="00320542"/>
    <w:rsid w:val="00336EFB"/>
    <w:rsid w:val="00372AD9"/>
    <w:rsid w:val="0037509A"/>
    <w:rsid w:val="0037630A"/>
    <w:rsid w:val="0037663C"/>
    <w:rsid w:val="003910EA"/>
    <w:rsid w:val="00393865"/>
    <w:rsid w:val="003943E8"/>
    <w:rsid w:val="003A564F"/>
    <w:rsid w:val="003B101C"/>
    <w:rsid w:val="003C231C"/>
    <w:rsid w:val="003C2B11"/>
    <w:rsid w:val="003C7931"/>
    <w:rsid w:val="003D6D5D"/>
    <w:rsid w:val="003E1A7A"/>
    <w:rsid w:val="003F22E0"/>
    <w:rsid w:val="003F3A4B"/>
    <w:rsid w:val="004013A3"/>
    <w:rsid w:val="004168B8"/>
    <w:rsid w:val="00416F60"/>
    <w:rsid w:val="0042431E"/>
    <w:rsid w:val="00425C08"/>
    <w:rsid w:val="004334A9"/>
    <w:rsid w:val="004358B7"/>
    <w:rsid w:val="00443146"/>
    <w:rsid w:val="00445E39"/>
    <w:rsid w:val="00451C82"/>
    <w:rsid w:val="00457D60"/>
    <w:rsid w:val="00463CF3"/>
    <w:rsid w:val="004723E1"/>
    <w:rsid w:val="00473132"/>
    <w:rsid w:val="004876F7"/>
    <w:rsid w:val="004946D7"/>
    <w:rsid w:val="00496D67"/>
    <w:rsid w:val="004A18D8"/>
    <w:rsid w:val="004A20D7"/>
    <w:rsid w:val="004B12A7"/>
    <w:rsid w:val="004B5F0C"/>
    <w:rsid w:val="004F3A35"/>
    <w:rsid w:val="004F6A5D"/>
    <w:rsid w:val="00500516"/>
    <w:rsid w:val="005068A3"/>
    <w:rsid w:val="005173FA"/>
    <w:rsid w:val="0052454E"/>
    <w:rsid w:val="005305DA"/>
    <w:rsid w:val="0053339C"/>
    <w:rsid w:val="005339B8"/>
    <w:rsid w:val="00544D32"/>
    <w:rsid w:val="005478B3"/>
    <w:rsid w:val="00556A76"/>
    <w:rsid w:val="005645BF"/>
    <w:rsid w:val="00580857"/>
    <w:rsid w:val="005874BF"/>
    <w:rsid w:val="005B7A37"/>
    <w:rsid w:val="005C7A0D"/>
    <w:rsid w:val="005D329E"/>
    <w:rsid w:val="005F1204"/>
    <w:rsid w:val="005F4602"/>
    <w:rsid w:val="005F4E99"/>
    <w:rsid w:val="00617BC9"/>
    <w:rsid w:val="00653552"/>
    <w:rsid w:val="006840FE"/>
    <w:rsid w:val="00696FD9"/>
    <w:rsid w:val="006A480E"/>
    <w:rsid w:val="006A64A7"/>
    <w:rsid w:val="006B115B"/>
    <w:rsid w:val="006B6E47"/>
    <w:rsid w:val="006E22FA"/>
    <w:rsid w:val="006E5D37"/>
    <w:rsid w:val="00715FB3"/>
    <w:rsid w:val="00717074"/>
    <w:rsid w:val="007176C8"/>
    <w:rsid w:val="0072587A"/>
    <w:rsid w:val="00735EA5"/>
    <w:rsid w:val="00736793"/>
    <w:rsid w:val="007716CC"/>
    <w:rsid w:val="007721A4"/>
    <w:rsid w:val="007747F1"/>
    <w:rsid w:val="00775AF8"/>
    <w:rsid w:val="0077697A"/>
    <w:rsid w:val="0078470F"/>
    <w:rsid w:val="00791B3F"/>
    <w:rsid w:val="007A64EF"/>
    <w:rsid w:val="007D5AAB"/>
    <w:rsid w:val="007E1BC2"/>
    <w:rsid w:val="007E263D"/>
    <w:rsid w:val="007E57FF"/>
    <w:rsid w:val="007F62C4"/>
    <w:rsid w:val="0080395E"/>
    <w:rsid w:val="00804FB8"/>
    <w:rsid w:val="00813B2C"/>
    <w:rsid w:val="00825944"/>
    <w:rsid w:val="008355C9"/>
    <w:rsid w:val="008550EB"/>
    <w:rsid w:val="00864A79"/>
    <w:rsid w:val="0087151A"/>
    <w:rsid w:val="00873122"/>
    <w:rsid w:val="00884265"/>
    <w:rsid w:val="00886385"/>
    <w:rsid w:val="0089462F"/>
    <w:rsid w:val="00896F9F"/>
    <w:rsid w:val="00896FE2"/>
    <w:rsid w:val="008A57D7"/>
    <w:rsid w:val="008B2CAC"/>
    <w:rsid w:val="008B4A1C"/>
    <w:rsid w:val="008C4D3C"/>
    <w:rsid w:val="008D4EA7"/>
    <w:rsid w:val="008D59C4"/>
    <w:rsid w:val="008E2A36"/>
    <w:rsid w:val="00911FDE"/>
    <w:rsid w:val="009138EB"/>
    <w:rsid w:val="00923A61"/>
    <w:rsid w:val="009259DA"/>
    <w:rsid w:val="00931995"/>
    <w:rsid w:val="0094416C"/>
    <w:rsid w:val="0095061F"/>
    <w:rsid w:val="0095553D"/>
    <w:rsid w:val="009644FA"/>
    <w:rsid w:val="0096460B"/>
    <w:rsid w:val="00986E6D"/>
    <w:rsid w:val="00987A11"/>
    <w:rsid w:val="009979CB"/>
    <w:rsid w:val="009A6382"/>
    <w:rsid w:val="009A6F83"/>
    <w:rsid w:val="009C0DC1"/>
    <w:rsid w:val="009C141B"/>
    <w:rsid w:val="009C227F"/>
    <w:rsid w:val="009C577A"/>
    <w:rsid w:val="009D56B3"/>
    <w:rsid w:val="009D7F16"/>
    <w:rsid w:val="009E11C9"/>
    <w:rsid w:val="009E3CD9"/>
    <w:rsid w:val="009E5695"/>
    <w:rsid w:val="00A137C7"/>
    <w:rsid w:val="00A40D61"/>
    <w:rsid w:val="00A47E35"/>
    <w:rsid w:val="00A70704"/>
    <w:rsid w:val="00A7190E"/>
    <w:rsid w:val="00A77568"/>
    <w:rsid w:val="00A8306D"/>
    <w:rsid w:val="00A8410B"/>
    <w:rsid w:val="00A85ECB"/>
    <w:rsid w:val="00A91E18"/>
    <w:rsid w:val="00AA3348"/>
    <w:rsid w:val="00AA6251"/>
    <w:rsid w:val="00AA64DF"/>
    <w:rsid w:val="00AB0222"/>
    <w:rsid w:val="00AB1CE0"/>
    <w:rsid w:val="00AB4119"/>
    <w:rsid w:val="00AC4246"/>
    <w:rsid w:val="00AD2708"/>
    <w:rsid w:val="00AD2FCA"/>
    <w:rsid w:val="00AF337A"/>
    <w:rsid w:val="00AF6D15"/>
    <w:rsid w:val="00B169D8"/>
    <w:rsid w:val="00B1743B"/>
    <w:rsid w:val="00B22D0E"/>
    <w:rsid w:val="00B22DBD"/>
    <w:rsid w:val="00B25E21"/>
    <w:rsid w:val="00B3765B"/>
    <w:rsid w:val="00B40CBC"/>
    <w:rsid w:val="00B421BD"/>
    <w:rsid w:val="00B43D5A"/>
    <w:rsid w:val="00B45F6C"/>
    <w:rsid w:val="00B47EC1"/>
    <w:rsid w:val="00B537BA"/>
    <w:rsid w:val="00B614FF"/>
    <w:rsid w:val="00B67966"/>
    <w:rsid w:val="00B9491E"/>
    <w:rsid w:val="00B95A33"/>
    <w:rsid w:val="00BA4BD9"/>
    <w:rsid w:val="00BA5CF4"/>
    <w:rsid w:val="00BB3809"/>
    <w:rsid w:val="00BD2C82"/>
    <w:rsid w:val="00BD449C"/>
    <w:rsid w:val="00BD5138"/>
    <w:rsid w:val="00BE220E"/>
    <w:rsid w:val="00BE2F06"/>
    <w:rsid w:val="00C01A4A"/>
    <w:rsid w:val="00C07BF0"/>
    <w:rsid w:val="00C203DE"/>
    <w:rsid w:val="00C21698"/>
    <w:rsid w:val="00C30CE7"/>
    <w:rsid w:val="00C33A31"/>
    <w:rsid w:val="00C34E67"/>
    <w:rsid w:val="00C47B21"/>
    <w:rsid w:val="00C62730"/>
    <w:rsid w:val="00C746E2"/>
    <w:rsid w:val="00C86E05"/>
    <w:rsid w:val="00C92C78"/>
    <w:rsid w:val="00C973DE"/>
    <w:rsid w:val="00CB334A"/>
    <w:rsid w:val="00CC594A"/>
    <w:rsid w:val="00CD3D14"/>
    <w:rsid w:val="00CE3735"/>
    <w:rsid w:val="00CF244A"/>
    <w:rsid w:val="00CF760E"/>
    <w:rsid w:val="00D077C8"/>
    <w:rsid w:val="00D277F5"/>
    <w:rsid w:val="00D30E1D"/>
    <w:rsid w:val="00D37C47"/>
    <w:rsid w:val="00D43EB5"/>
    <w:rsid w:val="00D511FB"/>
    <w:rsid w:val="00D565F5"/>
    <w:rsid w:val="00D61BC9"/>
    <w:rsid w:val="00D6287C"/>
    <w:rsid w:val="00D66D9A"/>
    <w:rsid w:val="00D70615"/>
    <w:rsid w:val="00D74EF4"/>
    <w:rsid w:val="00D84AC5"/>
    <w:rsid w:val="00D879C5"/>
    <w:rsid w:val="00DA67F0"/>
    <w:rsid w:val="00DA7787"/>
    <w:rsid w:val="00DB4881"/>
    <w:rsid w:val="00DC5970"/>
    <w:rsid w:val="00DC5A09"/>
    <w:rsid w:val="00DD1786"/>
    <w:rsid w:val="00DE0684"/>
    <w:rsid w:val="00DE65E2"/>
    <w:rsid w:val="00DF0AD5"/>
    <w:rsid w:val="00DF770F"/>
    <w:rsid w:val="00E0491E"/>
    <w:rsid w:val="00E13616"/>
    <w:rsid w:val="00E154E2"/>
    <w:rsid w:val="00E23502"/>
    <w:rsid w:val="00E26F2C"/>
    <w:rsid w:val="00E279C6"/>
    <w:rsid w:val="00E30BC8"/>
    <w:rsid w:val="00E31290"/>
    <w:rsid w:val="00E32008"/>
    <w:rsid w:val="00E35A66"/>
    <w:rsid w:val="00E448C1"/>
    <w:rsid w:val="00E5038F"/>
    <w:rsid w:val="00E55461"/>
    <w:rsid w:val="00E57851"/>
    <w:rsid w:val="00E64572"/>
    <w:rsid w:val="00E74296"/>
    <w:rsid w:val="00E7599D"/>
    <w:rsid w:val="00E865A3"/>
    <w:rsid w:val="00E9167C"/>
    <w:rsid w:val="00EA5B30"/>
    <w:rsid w:val="00EB1484"/>
    <w:rsid w:val="00EC0637"/>
    <w:rsid w:val="00EC4181"/>
    <w:rsid w:val="00EC51ED"/>
    <w:rsid w:val="00ED3DE0"/>
    <w:rsid w:val="00ED4756"/>
    <w:rsid w:val="00EE0870"/>
    <w:rsid w:val="00EF2B89"/>
    <w:rsid w:val="00EF34FB"/>
    <w:rsid w:val="00F03988"/>
    <w:rsid w:val="00F06C9F"/>
    <w:rsid w:val="00F24470"/>
    <w:rsid w:val="00F26F08"/>
    <w:rsid w:val="00F43AE8"/>
    <w:rsid w:val="00F4448F"/>
    <w:rsid w:val="00F45ADB"/>
    <w:rsid w:val="00F5353B"/>
    <w:rsid w:val="00F54859"/>
    <w:rsid w:val="00F662AC"/>
    <w:rsid w:val="00F75A12"/>
    <w:rsid w:val="00F81B70"/>
    <w:rsid w:val="00F825B8"/>
    <w:rsid w:val="00F82D11"/>
    <w:rsid w:val="00F8392A"/>
    <w:rsid w:val="00F92A05"/>
    <w:rsid w:val="00F93C27"/>
    <w:rsid w:val="00FB6650"/>
    <w:rsid w:val="00FB6F4B"/>
    <w:rsid w:val="00FC51E7"/>
    <w:rsid w:val="00FD2F77"/>
    <w:rsid w:val="00FE3EF0"/>
    <w:rsid w:val="00FF17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F3B02"/>
  <w15:chartTrackingRefBased/>
  <w15:docId w15:val="{7045A48F-B8B5-F149-A795-068711D25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72AD9"/>
    <w:pPr>
      <w:keepNext/>
      <w:keepLines/>
      <w:numPr>
        <w:numId w:val="1"/>
      </w:numPr>
      <w:adjustRightInd w:val="0"/>
      <w:snapToGrid w:val="0"/>
      <w:spacing w:after="240"/>
      <w:outlineLvl w:val="0"/>
    </w:pPr>
    <w:rPr>
      <w:rFonts w:asciiTheme="majorBidi" w:eastAsiaTheme="majorEastAsia" w:hAnsiTheme="majorBidi" w:cs="Times New Roman"/>
      <w:b/>
      <w:color w:val="000000" w:themeColor="text1"/>
      <w:szCs w:val="32"/>
    </w:rPr>
  </w:style>
  <w:style w:type="paragraph" w:styleId="Heading2">
    <w:name w:val="heading 2"/>
    <w:basedOn w:val="Normal"/>
    <w:next w:val="Normal"/>
    <w:link w:val="Heading2Char"/>
    <w:uiPriority w:val="9"/>
    <w:unhideWhenUsed/>
    <w:qFormat/>
    <w:rsid w:val="00372AD9"/>
    <w:pPr>
      <w:keepNext/>
      <w:keepLines/>
      <w:numPr>
        <w:ilvl w:val="1"/>
        <w:numId w:val="1"/>
      </w:numPr>
      <w:adjustRightInd w:val="0"/>
      <w:snapToGrid w:val="0"/>
      <w:spacing w:after="240"/>
      <w:ind w:left="0" w:firstLine="0"/>
      <w:outlineLvl w:val="1"/>
    </w:pPr>
    <w:rPr>
      <w:rFonts w:asciiTheme="majorBidi" w:eastAsiaTheme="majorEastAsia" w:hAnsiTheme="majorBidi" w:cs="Times New Roman"/>
      <w:i/>
      <w:color w:val="000000" w:themeColor="text1"/>
      <w:szCs w:val="26"/>
    </w:rPr>
  </w:style>
  <w:style w:type="paragraph" w:styleId="Heading3">
    <w:name w:val="heading 3"/>
    <w:basedOn w:val="Normal"/>
    <w:next w:val="Normal"/>
    <w:link w:val="Heading3Char"/>
    <w:uiPriority w:val="9"/>
    <w:unhideWhenUsed/>
    <w:qFormat/>
    <w:rsid w:val="00372AD9"/>
    <w:pPr>
      <w:keepNext/>
      <w:keepLines/>
      <w:numPr>
        <w:ilvl w:val="2"/>
        <w:numId w:val="1"/>
      </w:numPr>
      <w:adjustRightInd w:val="0"/>
      <w:snapToGrid w:val="0"/>
      <w:spacing w:after="240"/>
      <w:ind w:left="0" w:firstLine="0"/>
      <w:outlineLvl w:val="2"/>
    </w:pPr>
    <w:rPr>
      <w:rFonts w:asciiTheme="majorBidi" w:eastAsiaTheme="majorEastAsia" w:hAnsiTheme="majorBidi" w:cs="Times New Roman"/>
      <w:i/>
      <w:color w:val="000000" w:themeColor="text1"/>
      <w:u w:val="single"/>
    </w:rPr>
  </w:style>
  <w:style w:type="paragraph" w:styleId="Heading4">
    <w:name w:val="heading 4"/>
    <w:basedOn w:val="Normal"/>
    <w:next w:val="Normal"/>
    <w:link w:val="Heading4Char"/>
    <w:uiPriority w:val="9"/>
    <w:unhideWhenUsed/>
    <w:qFormat/>
    <w:rsid w:val="00372AD9"/>
    <w:pPr>
      <w:keepNext/>
      <w:keepLines/>
      <w:numPr>
        <w:ilvl w:val="3"/>
        <w:numId w:val="1"/>
      </w:numPr>
      <w:adjustRightInd w:val="0"/>
      <w:snapToGrid w:val="0"/>
      <w:spacing w:before="40" w:after="240"/>
      <w:outlineLvl w:val="3"/>
    </w:pPr>
    <w:rPr>
      <w:rFonts w:ascii="Times New Roman" w:eastAsiaTheme="majorEastAsia" w:hAnsi="Times New Roman" w:cs="Times New Roman"/>
      <w:i/>
      <w:iCs/>
      <w:color w:val="000000" w:themeColor="text1"/>
    </w:rPr>
  </w:style>
  <w:style w:type="paragraph" w:styleId="Heading5">
    <w:name w:val="heading 5"/>
    <w:basedOn w:val="Normal"/>
    <w:next w:val="Normal"/>
    <w:link w:val="Heading5Char"/>
    <w:uiPriority w:val="9"/>
    <w:semiHidden/>
    <w:unhideWhenUsed/>
    <w:qFormat/>
    <w:rsid w:val="00372AD9"/>
    <w:pPr>
      <w:keepNext/>
      <w:keepLines/>
      <w:numPr>
        <w:ilvl w:val="4"/>
        <w:numId w:val="1"/>
      </w:numPr>
      <w:adjustRightInd w:val="0"/>
      <w:snapToGrid w:val="0"/>
      <w:spacing w:before="40" w:after="240"/>
      <w:outlineLvl w:val="4"/>
    </w:pPr>
    <w:rPr>
      <w:rFonts w:asciiTheme="majorHAnsi" w:eastAsiaTheme="majorEastAsia" w:hAnsiTheme="majorHAnsi" w:cs="Times New Roman"/>
      <w:color w:val="2F5496" w:themeColor="accent1" w:themeShade="BF"/>
    </w:rPr>
  </w:style>
  <w:style w:type="paragraph" w:styleId="Heading6">
    <w:name w:val="heading 6"/>
    <w:basedOn w:val="Normal"/>
    <w:next w:val="Normal"/>
    <w:link w:val="Heading6Char"/>
    <w:uiPriority w:val="9"/>
    <w:semiHidden/>
    <w:unhideWhenUsed/>
    <w:qFormat/>
    <w:rsid w:val="00372AD9"/>
    <w:pPr>
      <w:keepNext/>
      <w:keepLines/>
      <w:numPr>
        <w:ilvl w:val="5"/>
        <w:numId w:val="1"/>
      </w:numPr>
      <w:adjustRightInd w:val="0"/>
      <w:snapToGrid w:val="0"/>
      <w:spacing w:before="40" w:after="240"/>
      <w:outlineLvl w:val="5"/>
    </w:pPr>
    <w:rPr>
      <w:rFonts w:asciiTheme="majorHAnsi" w:eastAsiaTheme="majorEastAsia" w:hAnsiTheme="majorHAnsi" w:cs="Times New Roman"/>
      <w:color w:val="1F3763" w:themeColor="accent1" w:themeShade="7F"/>
    </w:rPr>
  </w:style>
  <w:style w:type="paragraph" w:styleId="Heading7">
    <w:name w:val="heading 7"/>
    <w:basedOn w:val="Normal"/>
    <w:next w:val="Normal"/>
    <w:link w:val="Heading7Char"/>
    <w:uiPriority w:val="9"/>
    <w:semiHidden/>
    <w:unhideWhenUsed/>
    <w:qFormat/>
    <w:rsid w:val="00372AD9"/>
    <w:pPr>
      <w:keepNext/>
      <w:keepLines/>
      <w:numPr>
        <w:ilvl w:val="6"/>
        <w:numId w:val="1"/>
      </w:numPr>
      <w:adjustRightInd w:val="0"/>
      <w:snapToGrid w:val="0"/>
      <w:spacing w:before="40" w:after="240"/>
      <w:outlineLvl w:val="6"/>
    </w:pPr>
    <w:rPr>
      <w:rFonts w:asciiTheme="majorHAnsi" w:eastAsiaTheme="majorEastAsia" w:hAnsiTheme="majorHAnsi" w:cs="Times New Roman"/>
      <w:i/>
      <w:iCs/>
      <w:color w:val="1F3763" w:themeColor="accent1" w:themeShade="7F"/>
    </w:rPr>
  </w:style>
  <w:style w:type="paragraph" w:styleId="Heading8">
    <w:name w:val="heading 8"/>
    <w:basedOn w:val="Normal"/>
    <w:next w:val="Normal"/>
    <w:link w:val="Heading8Char"/>
    <w:uiPriority w:val="9"/>
    <w:semiHidden/>
    <w:unhideWhenUsed/>
    <w:qFormat/>
    <w:rsid w:val="00372AD9"/>
    <w:pPr>
      <w:keepNext/>
      <w:keepLines/>
      <w:numPr>
        <w:ilvl w:val="7"/>
        <w:numId w:val="1"/>
      </w:numPr>
      <w:adjustRightInd w:val="0"/>
      <w:snapToGrid w:val="0"/>
      <w:spacing w:before="40" w:after="240"/>
      <w:outlineLvl w:val="7"/>
    </w:pPr>
    <w:rPr>
      <w:rFonts w:asciiTheme="majorHAnsi" w:eastAsiaTheme="majorEastAsia" w:hAnsiTheme="majorHAnsi" w:cs="Times New Roman"/>
      <w:color w:val="272727" w:themeColor="text1" w:themeTint="D8"/>
      <w:sz w:val="21"/>
      <w:szCs w:val="21"/>
    </w:rPr>
  </w:style>
  <w:style w:type="paragraph" w:styleId="Heading9">
    <w:name w:val="heading 9"/>
    <w:basedOn w:val="Normal"/>
    <w:next w:val="Normal"/>
    <w:link w:val="Heading9Char"/>
    <w:uiPriority w:val="9"/>
    <w:semiHidden/>
    <w:unhideWhenUsed/>
    <w:qFormat/>
    <w:rsid w:val="00372AD9"/>
    <w:pPr>
      <w:keepNext/>
      <w:keepLines/>
      <w:numPr>
        <w:ilvl w:val="8"/>
        <w:numId w:val="1"/>
      </w:numPr>
      <w:adjustRightInd w:val="0"/>
      <w:snapToGrid w:val="0"/>
      <w:spacing w:before="40" w:after="240"/>
      <w:outlineLvl w:val="8"/>
    </w:pPr>
    <w:rPr>
      <w:rFonts w:asciiTheme="majorHAnsi" w:eastAsiaTheme="majorEastAsia" w:hAnsiTheme="majorHAnsi" w:cs="Times New Roman"/>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2AD9"/>
    <w:rPr>
      <w:rFonts w:asciiTheme="majorBidi" w:eastAsiaTheme="majorEastAsia" w:hAnsiTheme="majorBidi" w:cs="Times New Roman"/>
      <w:b/>
      <w:color w:val="000000" w:themeColor="text1"/>
      <w:szCs w:val="32"/>
    </w:rPr>
  </w:style>
  <w:style w:type="character" w:customStyle="1" w:styleId="Heading2Char">
    <w:name w:val="Heading 2 Char"/>
    <w:basedOn w:val="DefaultParagraphFont"/>
    <w:link w:val="Heading2"/>
    <w:uiPriority w:val="9"/>
    <w:rsid w:val="00372AD9"/>
    <w:rPr>
      <w:rFonts w:asciiTheme="majorBidi" w:eastAsiaTheme="majorEastAsia" w:hAnsiTheme="majorBidi" w:cs="Times New Roman"/>
      <w:i/>
      <w:color w:val="000000" w:themeColor="text1"/>
      <w:szCs w:val="26"/>
    </w:rPr>
  </w:style>
  <w:style w:type="character" w:customStyle="1" w:styleId="Heading3Char">
    <w:name w:val="Heading 3 Char"/>
    <w:basedOn w:val="DefaultParagraphFont"/>
    <w:link w:val="Heading3"/>
    <w:uiPriority w:val="9"/>
    <w:rsid w:val="00372AD9"/>
    <w:rPr>
      <w:rFonts w:asciiTheme="majorBidi" w:eastAsiaTheme="majorEastAsia" w:hAnsiTheme="majorBidi" w:cs="Times New Roman"/>
      <w:i/>
      <w:color w:val="000000" w:themeColor="text1"/>
      <w:u w:val="single"/>
    </w:rPr>
  </w:style>
  <w:style w:type="character" w:customStyle="1" w:styleId="Heading4Char">
    <w:name w:val="Heading 4 Char"/>
    <w:basedOn w:val="DefaultParagraphFont"/>
    <w:link w:val="Heading4"/>
    <w:uiPriority w:val="9"/>
    <w:rsid w:val="00372AD9"/>
    <w:rPr>
      <w:rFonts w:ascii="Times New Roman" w:eastAsiaTheme="majorEastAsia" w:hAnsi="Times New Roman" w:cs="Times New Roman"/>
      <w:i/>
      <w:iCs/>
      <w:color w:val="000000" w:themeColor="text1"/>
    </w:rPr>
  </w:style>
  <w:style w:type="character" w:customStyle="1" w:styleId="Heading5Char">
    <w:name w:val="Heading 5 Char"/>
    <w:basedOn w:val="DefaultParagraphFont"/>
    <w:link w:val="Heading5"/>
    <w:uiPriority w:val="9"/>
    <w:semiHidden/>
    <w:rsid w:val="00372AD9"/>
    <w:rPr>
      <w:rFonts w:asciiTheme="majorHAnsi" w:eastAsiaTheme="majorEastAsia" w:hAnsiTheme="majorHAnsi" w:cs="Times New Roman"/>
      <w:color w:val="2F5496" w:themeColor="accent1" w:themeShade="BF"/>
    </w:rPr>
  </w:style>
  <w:style w:type="character" w:customStyle="1" w:styleId="Heading6Char">
    <w:name w:val="Heading 6 Char"/>
    <w:basedOn w:val="DefaultParagraphFont"/>
    <w:link w:val="Heading6"/>
    <w:uiPriority w:val="9"/>
    <w:semiHidden/>
    <w:rsid w:val="00372AD9"/>
    <w:rPr>
      <w:rFonts w:asciiTheme="majorHAnsi" w:eastAsiaTheme="majorEastAsia" w:hAnsiTheme="majorHAnsi" w:cs="Times New Roman"/>
      <w:color w:val="1F3763" w:themeColor="accent1" w:themeShade="7F"/>
    </w:rPr>
  </w:style>
  <w:style w:type="character" w:customStyle="1" w:styleId="Heading7Char">
    <w:name w:val="Heading 7 Char"/>
    <w:basedOn w:val="DefaultParagraphFont"/>
    <w:link w:val="Heading7"/>
    <w:uiPriority w:val="9"/>
    <w:semiHidden/>
    <w:rsid w:val="00372AD9"/>
    <w:rPr>
      <w:rFonts w:asciiTheme="majorHAnsi" w:eastAsiaTheme="majorEastAsia" w:hAnsiTheme="majorHAnsi" w:cs="Times New Roman"/>
      <w:i/>
      <w:iCs/>
      <w:color w:val="1F3763" w:themeColor="accent1" w:themeShade="7F"/>
    </w:rPr>
  </w:style>
  <w:style w:type="character" w:customStyle="1" w:styleId="Heading8Char">
    <w:name w:val="Heading 8 Char"/>
    <w:basedOn w:val="DefaultParagraphFont"/>
    <w:link w:val="Heading8"/>
    <w:uiPriority w:val="9"/>
    <w:semiHidden/>
    <w:rsid w:val="00372AD9"/>
    <w:rPr>
      <w:rFonts w:asciiTheme="majorHAnsi" w:eastAsiaTheme="majorEastAsia" w:hAnsiTheme="majorHAnsi" w:cs="Times New Roman"/>
      <w:color w:val="272727" w:themeColor="text1" w:themeTint="D8"/>
      <w:sz w:val="21"/>
      <w:szCs w:val="21"/>
    </w:rPr>
  </w:style>
  <w:style w:type="character" w:customStyle="1" w:styleId="Heading9Char">
    <w:name w:val="Heading 9 Char"/>
    <w:basedOn w:val="DefaultParagraphFont"/>
    <w:link w:val="Heading9"/>
    <w:uiPriority w:val="9"/>
    <w:semiHidden/>
    <w:rsid w:val="00372AD9"/>
    <w:rPr>
      <w:rFonts w:asciiTheme="majorHAnsi" w:eastAsiaTheme="majorEastAsia" w:hAnsiTheme="majorHAnsi" w:cs="Times New Roman"/>
      <w:i/>
      <w:iCs/>
      <w:color w:val="272727" w:themeColor="text1" w:themeTint="D8"/>
      <w:sz w:val="21"/>
      <w:szCs w:val="21"/>
    </w:rPr>
  </w:style>
  <w:style w:type="character" w:styleId="CommentReference">
    <w:name w:val="annotation reference"/>
    <w:basedOn w:val="DefaultParagraphFont"/>
    <w:uiPriority w:val="99"/>
    <w:semiHidden/>
    <w:unhideWhenUsed/>
    <w:rsid w:val="00372AD9"/>
    <w:rPr>
      <w:rFonts w:cs="Times New Roman"/>
      <w:sz w:val="16"/>
      <w:szCs w:val="16"/>
    </w:rPr>
  </w:style>
  <w:style w:type="paragraph" w:styleId="CommentText">
    <w:name w:val="annotation text"/>
    <w:basedOn w:val="Normal"/>
    <w:link w:val="CommentTextChar"/>
    <w:uiPriority w:val="99"/>
    <w:unhideWhenUsed/>
    <w:rsid w:val="00372AD9"/>
    <w:pPr>
      <w:adjustRightInd w:val="0"/>
      <w:snapToGrid w:val="0"/>
      <w:spacing w:after="240" w:line="200" w:lineRule="exact"/>
    </w:pPr>
    <w:rPr>
      <w:rFonts w:asciiTheme="majorBidi" w:eastAsiaTheme="minorEastAsia" w:hAnsiTheme="majorBidi" w:cs="Times New Roman"/>
      <w:sz w:val="20"/>
      <w:szCs w:val="20"/>
    </w:rPr>
  </w:style>
  <w:style w:type="character" w:customStyle="1" w:styleId="CommentTextChar">
    <w:name w:val="Comment Text Char"/>
    <w:basedOn w:val="DefaultParagraphFont"/>
    <w:link w:val="CommentText"/>
    <w:uiPriority w:val="99"/>
    <w:rsid w:val="00372AD9"/>
    <w:rPr>
      <w:rFonts w:asciiTheme="majorBidi" w:eastAsiaTheme="minorEastAsia" w:hAnsiTheme="majorBidi" w:cs="Times New Roman"/>
      <w:sz w:val="20"/>
      <w:szCs w:val="20"/>
    </w:rPr>
  </w:style>
  <w:style w:type="paragraph" w:styleId="CommentSubject">
    <w:name w:val="annotation subject"/>
    <w:basedOn w:val="CommentText"/>
    <w:next w:val="CommentText"/>
    <w:link w:val="CommentSubjectChar"/>
    <w:uiPriority w:val="99"/>
    <w:semiHidden/>
    <w:unhideWhenUsed/>
    <w:rsid w:val="00AD2708"/>
    <w:pPr>
      <w:adjustRightInd/>
      <w:snapToGrid/>
      <w:spacing w:after="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AD2708"/>
    <w:rPr>
      <w:rFonts w:asciiTheme="majorBidi" w:eastAsiaTheme="minorEastAsia" w:hAnsiTheme="majorBidi" w:cs="Times New Roman"/>
      <w:b/>
      <w:bCs/>
      <w:sz w:val="20"/>
      <w:szCs w:val="20"/>
    </w:rPr>
  </w:style>
  <w:style w:type="table" w:styleId="TableGrid">
    <w:name w:val="Table Grid"/>
    <w:basedOn w:val="TableNormal"/>
    <w:uiPriority w:val="39"/>
    <w:rsid w:val="00F839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8392A"/>
    <w:pPr>
      <w:spacing w:after="200"/>
      <w:ind w:firstLine="360"/>
      <w:jc w:val="both"/>
    </w:pPr>
    <w:rPr>
      <w:rFonts w:asciiTheme="majorBidi" w:eastAsiaTheme="minorEastAsia" w:hAnsiTheme="majorBidi"/>
      <w:i/>
      <w:iCs/>
      <w:color w:val="44546A" w:themeColor="text2"/>
      <w:sz w:val="18"/>
      <w:szCs w:val="18"/>
    </w:rPr>
  </w:style>
  <w:style w:type="paragraph" w:styleId="NoSpacing">
    <w:name w:val="No Spacing"/>
    <w:uiPriority w:val="1"/>
    <w:qFormat/>
    <w:rsid w:val="00416F60"/>
    <w:pPr>
      <w:adjustRightInd w:val="0"/>
      <w:snapToGrid w:val="0"/>
      <w:spacing w:after="240"/>
    </w:pPr>
    <w:rPr>
      <w:rFonts w:asciiTheme="majorBidi" w:eastAsiaTheme="minorEastAsia" w:hAnsiTheme="majorBidi" w:cs="Times New Roman"/>
    </w:rPr>
  </w:style>
  <w:style w:type="paragraph" w:customStyle="1" w:styleId="equation">
    <w:name w:val="equation"/>
    <w:basedOn w:val="Normal"/>
    <w:qFormat/>
    <w:rsid w:val="00021ACC"/>
    <w:pPr>
      <w:tabs>
        <w:tab w:val="center" w:pos="4680"/>
        <w:tab w:val="right" w:pos="9360"/>
      </w:tabs>
      <w:adjustRightInd w:val="0"/>
      <w:snapToGrid w:val="0"/>
      <w:spacing w:before="240" w:after="240" w:line="240" w:lineRule="atLeast"/>
      <w:jc w:val="both"/>
    </w:pPr>
    <w:rPr>
      <w:rFonts w:asciiTheme="majorBidi" w:eastAsiaTheme="minorEastAsia" w:hAnsiTheme="majorBidi" w:cs="Times New Roman"/>
    </w:rPr>
  </w:style>
  <w:style w:type="paragraph" w:styleId="BalloonText">
    <w:name w:val="Balloon Text"/>
    <w:basedOn w:val="Normal"/>
    <w:link w:val="BalloonTextChar"/>
    <w:uiPriority w:val="99"/>
    <w:semiHidden/>
    <w:unhideWhenUsed/>
    <w:rsid w:val="001054A1"/>
    <w:pPr>
      <w:adjustRightInd w:val="0"/>
      <w:snapToGrid w:val="0"/>
      <w:ind w:firstLine="360"/>
    </w:pPr>
    <w:rPr>
      <w:rFonts w:ascii="Times New Roman" w:eastAsiaTheme="minorEastAsia" w:hAnsi="Times New Roman" w:cs="Times New Roman"/>
      <w:sz w:val="18"/>
      <w:szCs w:val="18"/>
    </w:rPr>
  </w:style>
  <w:style w:type="character" w:customStyle="1" w:styleId="BalloonTextChar">
    <w:name w:val="Balloon Text Char"/>
    <w:basedOn w:val="DefaultParagraphFont"/>
    <w:link w:val="BalloonText"/>
    <w:uiPriority w:val="99"/>
    <w:semiHidden/>
    <w:rsid w:val="001054A1"/>
    <w:rPr>
      <w:rFonts w:ascii="Times New Roman" w:eastAsiaTheme="minorEastAsia" w:hAnsi="Times New Roman" w:cs="Times New Roman"/>
      <w:sz w:val="18"/>
      <w:szCs w:val="18"/>
    </w:rPr>
  </w:style>
  <w:style w:type="paragraph" w:styleId="ListParagraph">
    <w:name w:val="List Paragraph"/>
    <w:basedOn w:val="Normal"/>
    <w:uiPriority w:val="34"/>
    <w:qFormat/>
    <w:rsid w:val="001054A1"/>
    <w:pPr>
      <w:adjustRightInd w:val="0"/>
      <w:snapToGrid w:val="0"/>
      <w:spacing w:after="240"/>
      <w:ind w:left="720" w:firstLine="360"/>
      <w:contextualSpacing/>
    </w:pPr>
    <w:rPr>
      <w:rFonts w:asciiTheme="majorBidi" w:eastAsiaTheme="minorEastAsia" w:hAnsiTheme="majorBidi" w:cs="Times New Roman"/>
    </w:rPr>
  </w:style>
  <w:style w:type="character" w:styleId="Hyperlink">
    <w:name w:val="Hyperlink"/>
    <w:basedOn w:val="DefaultParagraphFont"/>
    <w:uiPriority w:val="99"/>
    <w:unhideWhenUsed/>
    <w:rsid w:val="001054A1"/>
    <w:rPr>
      <w:rFonts w:cs="Times New Roman"/>
      <w:color w:val="0000FF"/>
      <w:u w:val="single"/>
    </w:rPr>
  </w:style>
  <w:style w:type="paragraph" w:styleId="Footer">
    <w:name w:val="footer"/>
    <w:basedOn w:val="Normal"/>
    <w:link w:val="FooterChar"/>
    <w:uiPriority w:val="99"/>
    <w:unhideWhenUsed/>
    <w:rsid w:val="001054A1"/>
    <w:pPr>
      <w:tabs>
        <w:tab w:val="center" w:pos="4513"/>
        <w:tab w:val="right" w:pos="9026"/>
      </w:tabs>
      <w:adjustRightInd w:val="0"/>
      <w:snapToGrid w:val="0"/>
      <w:spacing w:after="240"/>
      <w:ind w:firstLine="360"/>
    </w:pPr>
    <w:rPr>
      <w:rFonts w:asciiTheme="majorBidi" w:eastAsiaTheme="minorEastAsia" w:hAnsiTheme="majorBidi" w:cs="Times New Roman"/>
    </w:rPr>
  </w:style>
  <w:style w:type="character" w:customStyle="1" w:styleId="FooterChar">
    <w:name w:val="Footer Char"/>
    <w:basedOn w:val="DefaultParagraphFont"/>
    <w:link w:val="Footer"/>
    <w:uiPriority w:val="99"/>
    <w:rsid w:val="001054A1"/>
    <w:rPr>
      <w:rFonts w:asciiTheme="majorBidi" w:eastAsiaTheme="minorEastAsia" w:hAnsiTheme="majorBidi" w:cs="Times New Roman"/>
    </w:rPr>
  </w:style>
  <w:style w:type="paragraph" w:styleId="Header">
    <w:name w:val="header"/>
    <w:basedOn w:val="Normal"/>
    <w:link w:val="HeaderChar"/>
    <w:uiPriority w:val="99"/>
    <w:unhideWhenUsed/>
    <w:rsid w:val="001054A1"/>
    <w:pPr>
      <w:tabs>
        <w:tab w:val="center" w:pos="4513"/>
        <w:tab w:val="right" w:pos="9026"/>
      </w:tabs>
      <w:adjustRightInd w:val="0"/>
      <w:snapToGrid w:val="0"/>
      <w:spacing w:after="240"/>
      <w:ind w:firstLine="360"/>
    </w:pPr>
    <w:rPr>
      <w:rFonts w:asciiTheme="majorBidi" w:eastAsiaTheme="minorEastAsia" w:hAnsiTheme="majorBidi" w:cs="Times New Roman"/>
    </w:rPr>
  </w:style>
  <w:style w:type="character" w:customStyle="1" w:styleId="HeaderChar">
    <w:name w:val="Header Char"/>
    <w:basedOn w:val="DefaultParagraphFont"/>
    <w:link w:val="Header"/>
    <w:uiPriority w:val="99"/>
    <w:rsid w:val="001054A1"/>
    <w:rPr>
      <w:rFonts w:asciiTheme="majorBidi" w:eastAsiaTheme="minorEastAsia" w:hAnsiTheme="majorBidi" w:cs="Times New Roman"/>
    </w:rPr>
  </w:style>
  <w:style w:type="character" w:styleId="PlaceholderText">
    <w:name w:val="Placeholder Text"/>
    <w:basedOn w:val="DefaultParagraphFont"/>
    <w:uiPriority w:val="99"/>
    <w:semiHidden/>
    <w:rsid w:val="00E13616"/>
    <w:rPr>
      <w:color w:val="808080"/>
    </w:rPr>
  </w:style>
  <w:style w:type="character" w:styleId="UnresolvedMention">
    <w:name w:val="Unresolved Mention"/>
    <w:basedOn w:val="DefaultParagraphFont"/>
    <w:uiPriority w:val="99"/>
    <w:semiHidden/>
    <w:unhideWhenUsed/>
    <w:rsid w:val="009E11C9"/>
    <w:rPr>
      <w:color w:val="605E5C"/>
      <w:shd w:val="clear" w:color="auto" w:fill="E1DFDD"/>
    </w:rPr>
  </w:style>
  <w:style w:type="paragraph" w:styleId="Revision">
    <w:name w:val="Revision"/>
    <w:hidden/>
    <w:uiPriority w:val="99"/>
    <w:semiHidden/>
    <w:rsid w:val="00B421BD"/>
  </w:style>
  <w:style w:type="character" w:styleId="PageNumber">
    <w:name w:val="page number"/>
    <w:basedOn w:val="DefaultParagraphFont"/>
    <w:uiPriority w:val="99"/>
    <w:semiHidden/>
    <w:unhideWhenUsed/>
    <w:rsid w:val="00012D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607982">
      <w:bodyDiv w:val="1"/>
      <w:marLeft w:val="0"/>
      <w:marRight w:val="0"/>
      <w:marTop w:val="0"/>
      <w:marBottom w:val="0"/>
      <w:divBdr>
        <w:top w:val="none" w:sz="0" w:space="0" w:color="auto"/>
        <w:left w:val="none" w:sz="0" w:space="0" w:color="auto"/>
        <w:bottom w:val="none" w:sz="0" w:space="0" w:color="auto"/>
        <w:right w:val="none" w:sz="0" w:space="0" w:color="auto"/>
      </w:divBdr>
    </w:div>
    <w:div w:id="192498380">
      <w:bodyDiv w:val="1"/>
      <w:marLeft w:val="0"/>
      <w:marRight w:val="0"/>
      <w:marTop w:val="0"/>
      <w:marBottom w:val="0"/>
      <w:divBdr>
        <w:top w:val="none" w:sz="0" w:space="0" w:color="auto"/>
        <w:left w:val="none" w:sz="0" w:space="0" w:color="auto"/>
        <w:bottom w:val="none" w:sz="0" w:space="0" w:color="auto"/>
        <w:right w:val="none" w:sz="0" w:space="0" w:color="auto"/>
      </w:divBdr>
    </w:div>
    <w:div w:id="197663329">
      <w:bodyDiv w:val="1"/>
      <w:marLeft w:val="0"/>
      <w:marRight w:val="0"/>
      <w:marTop w:val="0"/>
      <w:marBottom w:val="0"/>
      <w:divBdr>
        <w:top w:val="none" w:sz="0" w:space="0" w:color="auto"/>
        <w:left w:val="none" w:sz="0" w:space="0" w:color="auto"/>
        <w:bottom w:val="none" w:sz="0" w:space="0" w:color="auto"/>
        <w:right w:val="none" w:sz="0" w:space="0" w:color="auto"/>
      </w:divBdr>
    </w:div>
    <w:div w:id="561454292">
      <w:bodyDiv w:val="1"/>
      <w:marLeft w:val="0"/>
      <w:marRight w:val="0"/>
      <w:marTop w:val="0"/>
      <w:marBottom w:val="0"/>
      <w:divBdr>
        <w:top w:val="none" w:sz="0" w:space="0" w:color="auto"/>
        <w:left w:val="none" w:sz="0" w:space="0" w:color="auto"/>
        <w:bottom w:val="none" w:sz="0" w:space="0" w:color="auto"/>
        <w:right w:val="none" w:sz="0" w:space="0" w:color="auto"/>
      </w:divBdr>
    </w:div>
    <w:div w:id="624965889">
      <w:bodyDiv w:val="1"/>
      <w:marLeft w:val="0"/>
      <w:marRight w:val="0"/>
      <w:marTop w:val="0"/>
      <w:marBottom w:val="0"/>
      <w:divBdr>
        <w:top w:val="none" w:sz="0" w:space="0" w:color="auto"/>
        <w:left w:val="none" w:sz="0" w:space="0" w:color="auto"/>
        <w:bottom w:val="none" w:sz="0" w:space="0" w:color="auto"/>
        <w:right w:val="none" w:sz="0" w:space="0" w:color="auto"/>
      </w:divBdr>
    </w:div>
    <w:div w:id="756287204">
      <w:bodyDiv w:val="1"/>
      <w:marLeft w:val="0"/>
      <w:marRight w:val="0"/>
      <w:marTop w:val="0"/>
      <w:marBottom w:val="0"/>
      <w:divBdr>
        <w:top w:val="none" w:sz="0" w:space="0" w:color="auto"/>
        <w:left w:val="none" w:sz="0" w:space="0" w:color="auto"/>
        <w:bottom w:val="none" w:sz="0" w:space="0" w:color="auto"/>
        <w:right w:val="none" w:sz="0" w:space="0" w:color="auto"/>
      </w:divBdr>
    </w:div>
    <w:div w:id="958993840">
      <w:bodyDiv w:val="1"/>
      <w:marLeft w:val="0"/>
      <w:marRight w:val="0"/>
      <w:marTop w:val="0"/>
      <w:marBottom w:val="0"/>
      <w:divBdr>
        <w:top w:val="none" w:sz="0" w:space="0" w:color="auto"/>
        <w:left w:val="none" w:sz="0" w:space="0" w:color="auto"/>
        <w:bottom w:val="none" w:sz="0" w:space="0" w:color="auto"/>
        <w:right w:val="none" w:sz="0" w:space="0" w:color="auto"/>
      </w:divBdr>
    </w:div>
    <w:div w:id="1017074260">
      <w:bodyDiv w:val="1"/>
      <w:marLeft w:val="0"/>
      <w:marRight w:val="0"/>
      <w:marTop w:val="0"/>
      <w:marBottom w:val="0"/>
      <w:divBdr>
        <w:top w:val="none" w:sz="0" w:space="0" w:color="auto"/>
        <w:left w:val="none" w:sz="0" w:space="0" w:color="auto"/>
        <w:bottom w:val="none" w:sz="0" w:space="0" w:color="auto"/>
        <w:right w:val="none" w:sz="0" w:space="0" w:color="auto"/>
      </w:divBdr>
    </w:div>
    <w:div w:id="1104498254">
      <w:bodyDiv w:val="1"/>
      <w:marLeft w:val="0"/>
      <w:marRight w:val="0"/>
      <w:marTop w:val="0"/>
      <w:marBottom w:val="0"/>
      <w:divBdr>
        <w:top w:val="none" w:sz="0" w:space="0" w:color="auto"/>
        <w:left w:val="none" w:sz="0" w:space="0" w:color="auto"/>
        <w:bottom w:val="none" w:sz="0" w:space="0" w:color="auto"/>
        <w:right w:val="none" w:sz="0" w:space="0" w:color="auto"/>
      </w:divBdr>
    </w:div>
    <w:div w:id="1216283777">
      <w:bodyDiv w:val="1"/>
      <w:marLeft w:val="0"/>
      <w:marRight w:val="0"/>
      <w:marTop w:val="0"/>
      <w:marBottom w:val="0"/>
      <w:divBdr>
        <w:top w:val="none" w:sz="0" w:space="0" w:color="auto"/>
        <w:left w:val="none" w:sz="0" w:space="0" w:color="auto"/>
        <w:bottom w:val="none" w:sz="0" w:space="0" w:color="auto"/>
        <w:right w:val="none" w:sz="0" w:space="0" w:color="auto"/>
      </w:divBdr>
      <w:divsChild>
        <w:div w:id="1742634287">
          <w:marLeft w:val="0"/>
          <w:marRight w:val="0"/>
          <w:marTop w:val="0"/>
          <w:marBottom w:val="0"/>
          <w:divBdr>
            <w:top w:val="none" w:sz="0" w:space="0" w:color="auto"/>
            <w:left w:val="none" w:sz="0" w:space="0" w:color="auto"/>
            <w:bottom w:val="none" w:sz="0" w:space="0" w:color="auto"/>
            <w:right w:val="none" w:sz="0" w:space="0" w:color="auto"/>
          </w:divBdr>
        </w:div>
        <w:div w:id="273096462">
          <w:marLeft w:val="0"/>
          <w:marRight w:val="0"/>
          <w:marTop w:val="0"/>
          <w:marBottom w:val="0"/>
          <w:divBdr>
            <w:top w:val="none" w:sz="0" w:space="0" w:color="auto"/>
            <w:left w:val="none" w:sz="0" w:space="0" w:color="auto"/>
            <w:bottom w:val="none" w:sz="0" w:space="0" w:color="auto"/>
            <w:right w:val="none" w:sz="0" w:space="0" w:color="auto"/>
          </w:divBdr>
        </w:div>
        <w:div w:id="1654598538">
          <w:marLeft w:val="0"/>
          <w:marRight w:val="0"/>
          <w:marTop w:val="0"/>
          <w:marBottom w:val="0"/>
          <w:divBdr>
            <w:top w:val="none" w:sz="0" w:space="0" w:color="auto"/>
            <w:left w:val="none" w:sz="0" w:space="0" w:color="auto"/>
            <w:bottom w:val="none" w:sz="0" w:space="0" w:color="auto"/>
            <w:right w:val="none" w:sz="0" w:space="0" w:color="auto"/>
          </w:divBdr>
        </w:div>
        <w:div w:id="1653145769">
          <w:marLeft w:val="0"/>
          <w:marRight w:val="0"/>
          <w:marTop w:val="0"/>
          <w:marBottom w:val="0"/>
          <w:divBdr>
            <w:top w:val="none" w:sz="0" w:space="0" w:color="auto"/>
            <w:left w:val="none" w:sz="0" w:space="0" w:color="auto"/>
            <w:bottom w:val="none" w:sz="0" w:space="0" w:color="auto"/>
            <w:right w:val="none" w:sz="0" w:space="0" w:color="auto"/>
          </w:divBdr>
        </w:div>
        <w:div w:id="1836796631">
          <w:marLeft w:val="0"/>
          <w:marRight w:val="0"/>
          <w:marTop w:val="0"/>
          <w:marBottom w:val="0"/>
          <w:divBdr>
            <w:top w:val="none" w:sz="0" w:space="0" w:color="auto"/>
            <w:left w:val="none" w:sz="0" w:space="0" w:color="auto"/>
            <w:bottom w:val="none" w:sz="0" w:space="0" w:color="auto"/>
            <w:right w:val="none" w:sz="0" w:space="0" w:color="auto"/>
          </w:divBdr>
        </w:div>
      </w:divsChild>
    </w:div>
    <w:div w:id="1224490345">
      <w:bodyDiv w:val="1"/>
      <w:marLeft w:val="0"/>
      <w:marRight w:val="0"/>
      <w:marTop w:val="0"/>
      <w:marBottom w:val="0"/>
      <w:divBdr>
        <w:top w:val="none" w:sz="0" w:space="0" w:color="auto"/>
        <w:left w:val="none" w:sz="0" w:space="0" w:color="auto"/>
        <w:bottom w:val="none" w:sz="0" w:space="0" w:color="auto"/>
        <w:right w:val="none" w:sz="0" w:space="0" w:color="auto"/>
      </w:divBdr>
    </w:div>
    <w:div w:id="1261833343">
      <w:bodyDiv w:val="1"/>
      <w:marLeft w:val="0"/>
      <w:marRight w:val="0"/>
      <w:marTop w:val="0"/>
      <w:marBottom w:val="0"/>
      <w:divBdr>
        <w:top w:val="none" w:sz="0" w:space="0" w:color="auto"/>
        <w:left w:val="none" w:sz="0" w:space="0" w:color="auto"/>
        <w:bottom w:val="none" w:sz="0" w:space="0" w:color="auto"/>
        <w:right w:val="none" w:sz="0" w:space="0" w:color="auto"/>
      </w:divBdr>
    </w:div>
    <w:div w:id="1328897566">
      <w:bodyDiv w:val="1"/>
      <w:marLeft w:val="0"/>
      <w:marRight w:val="0"/>
      <w:marTop w:val="0"/>
      <w:marBottom w:val="0"/>
      <w:divBdr>
        <w:top w:val="none" w:sz="0" w:space="0" w:color="auto"/>
        <w:left w:val="none" w:sz="0" w:space="0" w:color="auto"/>
        <w:bottom w:val="none" w:sz="0" w:space="0" w:color="auto"/>
        <w:right w:val="none" w:sz="0" w:space="0" w:color="auto"/>
      </w:divBdr>
    </w:div>
    <w:div w:id="1676764737">
      <w:bodyDiv w:val="1"/>
      <w:marLeft w:val="0"/>
      <w:marRight w:val="0"/>
      <w:marTop w:val="0"/>
      <w:marBottom w:val="0"/>
      <w:divBdr>
        <w:top w:val="none" w:sz="0" w:space="0" w:color="auto"/>
        <w:left w:val="none" w:sz="0" w:space="0" w:color="auto"/>
        <w:bottom w:val="none" w:sz="0" w:space="0" w:color="auto"/>
        <w:right w:val="none" w:sz="0" w:space="0" w:color="auto"/>
      </w:divBdr>
    </w:div>
    <w:div w:id="1821650031">
      <w:bodyDiv w:val="1"/>
      <w:marLeft w:val="0"/>
      <w:marRight w:val="0"/>
      <w:marTop w:val="0"/>
      <w:marBottom w:val="0"/>
      <w:divBdr>
        <w:top w:val="none" w:sz="0" w:space="0" w:color="auto"/>
        <w:left w:val="none" w:sz="0" w:space="0" w:color="auto"/>
        <w:bottom w:val="none" w:sz="0" w:space="0" w:color="auto"/>
        <w:right w:val="none" w:sz="0" w:space="0" w:color="auto"/>
      </w:divBdr>
    </w:div>
    <w:div w:id="1959682446">
      <w:bodyDiv w:val="1"/>
      <w:marLeft w:val="0"/>
      <w:marRight w:val="0"/>
      <w:marTop w:val="0"/>
      <w:marBottom w:val="0"/>
      <w:divBdr>
        <w:top w:val="none" w:sz="0" w:space="0" w:color="auto"/>
        <w:left w:val="none" w:sz="0" w:space="0" w:color="auto"/>
        <w:bottom w:val="none" w:sz="0" w:space="0" w:color="auto"/>
        <w:right w:val="none" w:sz="0" w:space="0" w:color="auto"/>
      </w:divBdr>
    </w:div>
    <w:div w:id="1969504566">
      <w:bodyDiv w:val="1"/>
      <w:marLeft w:val="0"/>
      <w:marRight w:val="0"/>
      <w:marTop w:val="0"/>
      <w:marBottom w:val="0"/>
      <w:divBdr>
        <w:top w:val="none" w:sz="0" w:space="0" w:color="auto"/>
        <w:left w:val="none" w:sz="0" w:space="0" w:color="auto"/>
        <w:bottom w:val="none" w:sz="0" w:space="0" w:color="auto"/>
        <w:right w:val="none" w:sz="0" w:space="0" w:color="auto"/>
      </w:divBdr>
    </w:div>
    <w:div w:id="2101876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github.com/eryhughes/Pvsat"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2.xml"/><Relationship Id="rId8" Type="http://schemas.openxmlformats.org/officeDocument/2006/relationships/image" Target="media/image1.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ABA77FDE-B353-7A49-AA7F-26323DB3B0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43</Pages>
  <Words>103118</Words>
  <Characters>587775</Characters>
  <Application>Microsoft Office Word</Application>
  <DocSecurity>0</DocSecurity>
  <Lines>4898</Lines>
  <Paragraphs>1379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Hughes, Ery C. (Ery)</dc:creator>
  <cp:keywords/>
  <dc:description/>
  <cp:lastModifiedBy>Hughes, Ery C. (Ery)</cp:lastModifiedBy>
  <cp:revision>4</cp:revision>
  <cp:lastPrinted>2022-07-18T05:28:00Z</cp:lastPrinted>
  <dcterms:created xsi:type="dcterms:W3CDTF">2023-02-26T23:22:00Z</dcterms:created>
  <dcterms:modified xsi:type="dcterms:W3CDTF">2024-01-12T02:03:00Z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http://www.zotero.org/styles/earth-and-planetary-science-letters</vt:lpwstr>
  </property>
  <property fmtid="{D5CDD505-2E9C-101B-9397-08002B2CF9AE}" pid="13" name="Mendeley Recent Style Name 5_1">
    <vt:lpwstr>Earth and Planetary Science Letters</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http://www.zotero.org/styles/journal-of-the-geological-society</vt:lpwstr>
  </property>
  <property fmtid="{D5CDD505-2E9C-101B-9397-08002B2CF9AE}" pid="17" name="Mendeley Recent Style Name 7_1">
    <vt:lpwstr>Journal of the Geological Society</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http://csl.mendeley.com/styles/24017311/nature</vt:lpwstr>
  </property>
  <property fmtid="{D5CDD505-2E9C-101B-9397-08002B2CF9AE}" pid="21" name="Mendeley Recent Style Name 9_1">
    <vt:lpwstr>Nature - Ery Hughes</vt:lpwstr>
  </property>
  <property fmtid="{D5CDD505-2E9C-101B-9397-08002B2CF9AE}" pid="22" name="Mendeley Document_1">
    <vt:lpwstr>True</vt:lpwstr>
  </property>
  <property fmtid="{D5CDD505-2E9C-101B-9397-08002B2CF9AE}" pid="23" name="Mendeley Unique User Id_1">
    <vt:lpwstr>ffd0abb2-0b0b-321c-9660-16dd96cb343e</vt:lpwstr>
  </property>
  <property fmtid="{D5CDD505-2E9C-101B-9397-08002B2CF9AE}" pid="24" name="Mendeley Citation Style_1">
    <vt:lpwstr>http://www.zotero.org/styles/earth-and-planetary-science-letters</vt:lpwstr>
  </property>
</Properties>
</file>